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71BEA">
      <w:pPr>
        <w:pStyle w:val="61"/>
        <w:spacing w:line="560" w:lineRule="exact"/>
        <w:ind w:firstLine="0" w:firstLineChars="0"/>
        <w:jc w:val="both"/>
        <w:rPr>
          <w:rFonts w:hint="default" w:ascii="Times New Roman" w:hAnsi="Times New Roman" w:eastAsia="方正小标宋_GBK" w:cs="Times New Roman"/>
          <w:b/>
          <w:bCs/>
          <w:color w:val="000000" w:themeColor="text1"/>
          <w:sz w:val="32"/>
          <w:szCs w:val="32"/>
          <w:highlight w:val="none"/>
          <w14:textFill>
            <w14:solidFill>
              <w14:schemeClr w14:val="tx1"/>
            </w14:solidFill>
          </w14:textFill>
        </w:rPr>
      </w:pPr>
    </w:p>
    <w:p w14:paraId="048B6368">
      <w:pPr>
        <w:pStyle w:val="61"/>
        <w:spacing w:line="560" w:lineRule="exact"/>
        <w:ind w:firstLine="0" w:firstLineChars="0"/>
        <w:jc w:val="both"/>
        <w:rPr>
          <w:rFonts w:hint="default" w:ascii="Times New Roman" w:hAnsi="Times New Roman" w:eastAsia="方正小标宋_GBK" w:cs="Times New Roman"/>
          <w:b/>
          <w:bCs/>
          <w:color w:val="000000" w:themeColor="text1"/>
          <w:sz w:val="32"/>
          <w:szCs w:val="32"/>
          <w:highlight w:val="none"/>
          <w14:textFill>
            <w14:solidFill>
              <w14:schemeClr w14:val="tx1"/>
            </w14:solidFill>
          </w14:textFill>
        </w:rPr>
      </w:pPr>
    </w:p>
    <w:p w14:paraId="0656DC9E">
      <w:pPr>
        <w:pStyle w:val="61"/>
        <w:spacing w:line="560" w:lineRule="exact"/>
        <w:ind w:firstLine="0" w:firstLineChars="0"/>
        <w:jc w:val="center"/>
        <w:rPr>
          <w:rFonts w:hint="default" w:ascii="Times New Roman" w:hAnsi="Times New Roman" w:eastAsia="方正小标宋_GBK" w:cs="Times New Roman"/>
          <w:b/>
          <w:bCs/>
          <w:color w:val="000000" w:themeColor="text1"/>
          <w:sz w:val="32"/>
          <w:szCs w:val="32"/>
          <w:highlight w:val="none"/>
          <w14:textFill>
            <w14:solidFill>
              <w14:schemeClr w14:val="tx1"/>
            </w14:solidFill>
          </w14:textFill>
        </w:rPr>
      </w:pPr>
    </w:p>
    <w:p w14:paraId="4D5A4F92">
      <w:pPr>
        <w:pStyle w:val="61"/>
        <w:spacing w:line="560" w:lineRule="exact"/>
        <w:ind w:firstLine="0" w:firstLineChars="0"/>
        <w:jc w:val="center"/>
        <w:rPr>
          <w:rFonts w:hint="default" w:ascii="Times New Roman" w:hAnsi="Times New Roman" w:eastAsia="方正小标宋_GBK" w:cs="Times New Roman"/>
          <w:b/>
          <w:bCs/>
          <w:color w:val="000000" w:themeColor="text1"/>
          <w:sz w:val="44"/>
          <w:szCs w:val="44"/>
          <w:highlight w:val="none"/>
          <w14:textFill>
            <w14:solidFill>
              <w14:schemeClr w14:val="tx1"/>
            </w14:solidFill>
          </w14:textFill>
        </w:rPr>
      </w:pPr>
    </w:p>
    <w:p w14:paraId="1CAB7A65">
      <w:pPr>
        <w:pStyle w:val="61"/>
        <w:spacing w:line="700" w:lineRule="exact"/>
        <w:ind w:firstLine="0" w:firstLineChars="0"/>
        <w:jc w:val="center"/>
        <w:rPr>
          <w:rFonts w:hint="default" w:ascii="Times New Roman" w:hAnsi="Times New Roman" w:eastAsia="方正小标宋_GBK" w:cs="Times New Roman"/>
          <w:b/>
          <w:bCs/>
          <w:color w:val="000000" w:themeColor="text1"/>
          <w:sz w:val="48"/>
          <w:szCs w:val="48"/>
          <w:highlight w:val="none"/>
          <w14:textFill>
            <w14:solidFill>
              <w14:schemeClr w14:val="tx1"/>
            </w14:solidFill>
          </w14:textFill>
        </w:rPr>
      </w:pPr>
      <w:r>
        <w:rPr>
          <w:rFonts w:hint="default" w:ascii="Times New Roman" w:hAnsi="Times New Roman" w:eastAsia="方正小标宋_GBK" w:cs="Times New Roman"/>
          <w:b/>
          <w:bCs/>
          <w:color w:val="000000" w:themeColor="text1"/>
          <w:sz w:val="48"/>
          <w:szCs w:val="48"/>
          <w:highlight w:val="none"/>
          <w14:textFill>
            <w14:solidFill>
              <w14:schemeClr w14:val="tx1"/>
            </w14:solidFill>
          </w14:textFill>
        </w:rPr>
        <w:t>包头市东河区国民经济和社会发展</w:t>
      </w:r>
    </w:p>
    <w:p w14:paraId="79832CCF">
      <w:pPr>
        <w:pStyle w:val="61"/>
        <w:spacing w:line="700" w:lineRule="exact"/>
        <w:ind w:firstLine="0" w:firstLineChars="0"/>
        <w:jc w:val="center"/>
        <w:rPr>
          <w:rFonts w:hint="default" w:ascii="Times New Roman" w:hAnsi="Times New Roman" w:eastAsia="方正小标宋_GBK" w:cs="Times New Roman"/>
          <w:b/>
          <w:bCs/>
          <w:color w:val="000000" w:themeColor="text1"/>
          <w:sz w:val="48"/>
          <w:szCs w:val="48"/>
          <w:highlight w:val="none"/>
          <w14:textFill>
            <w14:solidFill>
              <w14:schemeClr w14:val="tx1"/>
            </w14:solidFill>
          </w14:textFill>
        </w:rPr>
      </w:pPr>
      <w:r>
        <w:rPr>
          <w:rFonts w:hint="default" w:ascii="Times New Roman" w:hAnsi="Times New Roman" w:eastAsia="方正小标宋_GBK" w:cs="Times New Roman"/>
          <w:b/>
          <w:bCs/>
          <w:color w:val="000000" w:themeColor="text1"/>
          <w:sz w:val="48"/>
          <w:szCs w:val="48"/>
          <w:highlight w:val="none"/>
          <w14:textFill>
            <w14:solidFill>
              <w14:schemeClr w14:val="tx1"/>
            </w14:solidFill>
          </w14:textFill>
        </w:rPr>
        <w:t>第十五个五年规划纲要</w:t>
      </w:r>
    </w:p>
    <w:p w14:paraId="61706A91">
      <w:pPr>
        <w:pStyle w:val="61"/>
        <w:spacing w:line="560" w:lineRule="exact"/>
        <w:ind w:firstLine="0" w:firstLineChars="0"/>
        <w:jc w:val="center"/>
        <w:rPr>
          <w:rFonts w:hint="default" w:ascii="Times New Roman" w:hAnsi="Times New Roman" w:cs="Times New Roman"/>
          <w:b/>
          <w:bCs/>
          <w:color w:val="000000" w:themeColor="text1"/>
          <w:sz w:val="40"/>
          <w:szCs w:val="40"/>
          <w:highlight w:val="none"/>
          <w14:textFill>
            <w14:solidFill>
              <w14:schemeClr w14:val="tx1"/>
            </w14:solidFill>
          </w14:textFill>
        </w:rPr>
      </w:pPr>
    </w:p>
    <w:p w14:paraId="190B0904">
      <w:pPr>
        <w:pStyle w:val="61"/>
        <w:spacing w:line="560" w:lineRule="exact"/>
        <w:ind w:firstLine="0" w:firstLineChars="0"/>
        <w:jc w:val="center"/>
        <w:rPr>
          <w:rFonts w:hint="default" w:ascii="Times New Roman" w:hAnsi="Times New Roman" w:cs="Times New Roman"/>
          <w:b/>
          <w:bCs/>
          <w:color w:val="000000" w:themeColor="text1"/>
          <w:sz w:val="32"/>
          <w:szCs w:val="32"/>
          <w:highlight w:val="none"/>
          <w14:textFill>
            <w14:solidFill>
              <w14:schemeClr w14:val="tx1"/>
            </w14:solidFill>
          </w14:textFill>
        </w:rPr>
      </w:pPr>
    </w:p>
    <w:p w14:paraId="57658FAE">
      <w:pPr>
        <w:pStyle w:val="61"/>
        <w:spacing w:line="560" w:lineRule="exact"/>
        <w:ind w:firstLine="0" w:firstLineChars="0"/>
        <w:jc w:val="center"/>
        <w:rPr>
          <w:rFonts w:hint="default" w:ascii="Times New Roman" w:hAnsi="Times New Roman" w:cs="Times New Roman"/>
          <w:b/>
          <w:bCs/>
          <w:color w:val="000000" w:themeColor="text1"/>
          <w:sz w:val="32"/>
          <w:szCs w:val="32"/>
          <w:highlight w:val="none"/>
          <w14:textFill>
            <w14:solidFill>
              <w14:schemeClr w14:val="tx1"/>
            </w14:solidFill>
          </w14:textFill>
        </w:rPr>
      </w:pPr>
    </w:p>
    <w:p w14:paraId="6E45ED03">
      <w:pPr>
        <w:pStyle w:val="61"/>
        <w:spacing w:line="560" w:lineRule="exact"/>
        <w:ind w:firstLine="0" w:firstLineChars="0"/>
        <w:jc w:val="center"/>
        <w:rPr>
          <w:rFonts w:hint="default" w:ascii="Times New Roman" w:hAnsi="Times New Roman" w:cs="Times New Roman"/>
          <w:b/>
          <w:bCs/>
          <w:color w:val="000000" w:themeColor="text1"/>
          <w:sz w:val="32"/>
          <w:szCs w:val="32"/>
          <w:highlight w:val="none"/>
          <w14:textFill>
            <w14:solidFill>
              <w14:schemeClr w14:val="tx1"/>
            </w14:solidFill>
          </w14:textFill>
        </w:rPr>
      </w:pPr>
    </w:p>
    <w:p w14:paraId="0BA26E06">
      <w:pPr>
        <w:pStyle w:val="61"/>
        <w:spacing w:line="560" w:lineRule="exact"/>
        <w:ind w:firstLine="0" w:firstLineChars="0"/>
        <w:jc w:val="center"/>
        <w:rPr>
          <w:rFonts w:hint="default" w:ascii="Times New Roman" w:hAnsi="Times New Roman" w:cs="Times New Roman"/>
          <w:b/>
          <w:bCs/>
          <w:color w:val="000000" w:themeColor="text1"/>
          <w:sz w:val="32"/>
          <w:szCs w:val="32"/>
          <w:highlight w:val="none"/>
          <w14:textFill>
            <w14:solidFill>
              <w14:schemeClr w14:val="tx1"/>
            </w14:solidFill>
          </w14:textFill>
        </w:rPr>
      </w:pPr>
    </w:p>
    <w:p w14:paraId="71639F3D">
      <w:pPr>
        <w:pStyle w:val="61"/>
        <w:spacing w:line="560" w:lineRule="exact"/>
        <w:ind w:firstLine="0" w:firstLineChars="0"/>
        <w:jc w:val="both"/>
        <w:rPr>
          <w:rFonts w:hint="default" w:ascii="Times New Roman" w:hAnsi="Times New Roman" w:cs="Times New Roman"/>
          <w:b/>
          <w:bCs/>
          <w:color w:val="000000" w:themeColor="text1"/>
          <w:sz w:val="32"/>
          <w:szCs w:val="32"/>
          <w:highlight w:val="none"/>
          <w14:textFill>
            <w14:solidFill>
              <w14:schemeClr w14:val="tx1"/>
            </w14:solidFill>
          </w14:textFill>
        </w:rPr>
      </w:pPr>
    </w:p>
    <w:p w14:paraId="15E0D6CE">
      <w:pPr>
        <w:pStyle w:val="61"/>
        <w:spacing w:line="560" w:lineRule="exact"/>
        <w:ind w:firstLine="0" w:firstLineChars="0"/>
        <w:jc w:val="center"/>
        <w:rPr>
          <w:rFonts w:hint="default" w:ascii="Times New Roman" w:hAnsi="Times New Roman" w:cs="Times New Roman"/>
          <w:b/>
          <w:bCs/>
          <w:color w:val="000000" w:themeColor="text1"/>
          <w:sz w:val="32"/>
          <w:szCs w:val="32"/>
          <w:highlight w:val="none"/>
          <w14:textFill>
            <w14:solidFill>
              <w14:schemeClr w14:val="tx1"/>
            </w14:solidFill>
          </w14:textFill>
        </w:rPr>
      </w:pPr>
    </w:p>
    <w:p w14:paraId="6D9D692F">
      <w:pPr>
        <w:pStyle w:val="61"/>
        <w:spacing w:line="560" w:lineRule="exact"/>
        <w:ind w:firstLine="0" w:firstLineChars="0"/>
        <w:jc w:val="center"/>
        <w:rPr>
          <w:rFonts w:hint="default" w:ascii="Times New Roman" w:hAnsi="Times New Roman" w:cs="Times New Roman"/>
          <w:b/>
          <w:bCs/>
          <w:color w:val="000000" w:themeColor="text1"/>
          <w:sz w:val="32"/>
          <w:szCs w:val="32"/>
          <w:highlight w:val="none"/>
          <w14:textFill>
            <w14:solidFill>
              <w14:schemeClr w14:val="tx1"/>
            </w14:solidFill>
          </w14:textFill>
        </w:rPr>
      </w:pPr>
    </w:p>
    <w:p w14:paraId="4AD933CC">
      <w:pPr>
        <w:pStyle w:val="61"/>
        <w:spacing w:line="560" w:lineRule="exact"/>
        <w:ind w:firstLine="0" w:firstLineChars="0"/>
        <w:jc w:val="center"/>
        <w:rPr>
          <w:rFonts w:hint="default" w:ascii="Times New Roman" w:hAnsi="Times New Roman" w:cs="Times New Roman"/>
          <w:b/>
          <w:bCs/>
          <w:color w:val="000000" w:themeColor="text1"/>
          <w:sz w:val="32"/>
          <w:szCs w:val="32"/>
          <w:highlight w:val="none"/>
          <w14:textFill>
            <w14:solidFill>
              <w14:schemeClr w14:val="tx1"/>
            </w14:solidFill>
          </w14:textFill>
        </w:rPr>
      </w:pPr>
    </w:p>
    <w:p w14:paraId="09A4FF8A">
      <w:pPr>
        <w:pStyle w:val="61"/>
        <w:spacing w:line="560" w:lineRule="exact"/>
        <w:ind w:firstLine="0" w:firstLineChars="0"/>
        <w:jc w:val="center"/>
        <w:rPr>
          <w:rFonts w:hint="default" w:ascii="Times New Roman" w:hAnsi="Times New Roman" w:cs="Times New Roman"/>
          <w:b/>
          <w:bCs/>
          <w:color w:val="000000" w:themeColor="text1"/>
          <w:sz w:val="32"/>
          <w:szCs w:val="32"/>
          <w:highlight w:val="none"/>
          <w14:textFill>
            <w14:solidFill>
              <w14:schemeClr w14:val="tx1"/>
            </w14:solidFill>
          </w14:textFill>
        </w:rPr>
      </w:pPr>
    </w:p>
    <w:p w14:paraId="19EC103A">
      <w:pPr>
        <w:pStyle w:val="61"/>
        <w:spacing w:line="560" w:lineRule="exact"/>
        <w:ind w:firstLine="0" w:firstLineChars="0"/>
        <w:jc w:val="center"/>
        <w:rPr>
          <w:rFonts w:hint="default" w:ascii="Times New Roman" w:hAnsi="Times New Roman" w:cs="Times New Roman"/>
          <w:b/>
          <w:bCs/>
          <w:color w:val="000000" w:themeColor="text1"/>
          <w:sz w:val="32"/>
          <w:szCs w:val="32"/>
          <w:highlight w:val="none"/>
          <w14:textFill>
            <w14:solidFill>
              <w14:schemeClr w14:val="tx1"/>
            </w14:solidFill>
          </w14:textFill>
        </w:rPr>
      </w:pPr>
    </w:p>
    <w:p w14:paraId="1037324D">
      <w:pPr>
        <w:pStyle w:val="61"/>
        <w:spacing w:line="560" w:lineRule="exact"/>
        <w:ind w:firstLine="0" w:firstLineChars="0"/>
        <w:jc w:val="center"/>
        <w:rPr>
          <w:rFonts w:hint="default" w:ascii="Times New Roman" w:hAnsi="Times New Roman" w:cs="Times New Roman"/>
          <w:b/>
          <w:bCs/>
          <w:color w:val="000000" w:themeColor="text1"/>
          <w:sz w:val="32"/>
          <w:szCs w:val="32"/>
          <w:highlight w:val="none"/>
          <w14:textFill>
            <w14:solidFill>
              <w14:schemeClr w14:val="tx1"/>
            </w14:solidFill>
          </w14:textFill>
        </w:rPr>
      </w:pPr>
    </w:p>
    <w:p w14:paraId="3091746A">
      <w:pPr>
        <w:pStyle w:val="61"/>
        <w:spacing w:line="560" w:lineRule="exact"/>
        <w:ind w:firstLine="0" w:firstLineChars="0"/>
        <w:jc w:val="center"/>
        <w:rPr>
          <w:rFonts w:hint="default" w:ascii="Times New Roman" w:hAnsi="Times New Roman" w:cs="Times New Roman"/>
          <w:b/>
          <w:bCs/>
          <w:color w:val="000000" w:themeColor="text1"/>
          <w:sz w:val="32"/>
          <w:szCs w:val="32"/>
          <w:highlight w:val="none"/>
          <w14:textFill>
            <w14:solidFill>
              <w14:schemeClr w14:val="tx1"/>
            </w14:solidFill>
          </w14:textFill>
        </w:rPr>
      </w:pPr>
    </w:p>
    <w:p w14:paraId="572BC213">
      <w:pPr>
        <w:pStyle w:val="61"/>
        <w:spacing w:line="560" w:lineRule="exact"/>
        <w:ind w:firstLine="0" w:firstLineChars="0"/>
        <w:jc w:val="center"/>
        <w:rPr>
          <w:rFonts w:hint="default" w:ascii="Times New Roman" w:hAnsi="Times New Roman" w:cs="Times New Roman"/>
          <w:b/>
          <w:bCs/>
          <w:color w:val="000000" w:themeColor="text1"/>
          <w:sz w:val="32"/>
          <w:szCs w:val="32"/>
          <w:highlight w:val="none"/>
          <w14:textFill>
            <w14:solidFill>
              <w14:schemeClr w14:val="tx1"/>
            </w14:solidFill>
          </w14:textFill>
        </w:rPr>
      </w:pPr>
    </w:p>
    <w:p w14:paraId="44C13C40">
      <w:pPr>
        <w:pStyle w:val="61"/>
        <w:spacing w:line="560" w:lineRule="exact"/>
        <w:ind w:firstLine="0" w:firstLineChars="0"/>
        <w:jc w:val="center"/>
        <w:rPr>
          <w:rFonts w:hint="default" w:ascii="Times New Roman" w:hAnsi="Times New Roman" w:eastAsia="方正黑体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包头市东河区人民政府</w:t>
      </w:r>
    </w:p>
    <w:p w14:paraId="44314BED">
      <w:pPr>
        <w:spacing w:line="560" w:lineRule="exact"/>
        <w:ind w:firstLine="0" w:firstLineChars="0"/>
        <w:jc w:val="center"/>
        <w:rPr>
          <w:rFonts w:hint="default" w:ascii="Times New Roman" w:hAnsi="Times New Roman" w:eastAsia="方正黑体_GBK" w:cs="Times New Roman"/>
          <w:color w:val="000000" w:themeColor="text1"/>
          <w:szCs w:val="32"/>
          <w:highlight w:val="none"/>
          <w14:textFill>
            <w14:solidFill>
              <w14:schemeClr w14:val="tx1"/>
            </w14:solidFill>
          </w14:textFill>
        </w:rPr>
      </w:pPr>
      <w:r>
        <w:rPr>
          <w:rFonts w:hint="default" w:ascii="Times New Roman" w:hAnsi="Times New Roman" w:eastAsia="方正黑体_GBK" w:cs="Times New Roman"/>
          <w:color w:val="000000" w:themeColor="text1"/>
          <w:szCs w:val="32"/>
          <w:highlight w:val="none"/>
          <w14:textFill>
            <w14:solidFill>
              <w14:schemeClr w14:val="tx1"/>
            </w14:solidFill>
          </w14:textFill>
        </w:rPr>
        <w:t>202</w:t>
      </w:r>
      <w:r>
        <w:rPr>
          <w:rFonts w:hint="eastAsia" w:eastAsia="方正黑体_GBK" w:cs="Times New Roman"/>
          <w:color w:val="000000" w:themeColor="text1"/>
          <w:szCs w:val="32"/>
          <w:highlight w:val="none"/>
          <w:lang w:val="en-US" w:eastAsia="zh-CN"/>
          <w14:textFill>
            <w14:solidFill>
              <w14:schemeClr w14:val="tx1"/>
            </w14:solidFill>
          </w14:textFill>
        </w:rPr>
        <w:t>6</w:t>
      </w:r>
      <w:r>
        <w:rPr>
          <w:rFonts w:hint="default" w:ascii="Times New Roman" w:hAnsi="Times New Roman" w:eastAsia="方正黑体_GBK" w:cs="Times New Roman"/>
          <w:color w:val="000000" w:themeColor="text1"/>
          <w:szCs w:val="32"/>
          <w:highlight w:val="none"/>
          <w14:textFill>
            <w14:solidFill>
              <w14:schemeClr w14:val="tx1"/>
            </w14:solidFill>
          </w14:textFill>
        </w:rPr>
        <w:t>年</w:t>
      </w:r>
      <w:r>
        <w:rPr>
          <w:rFonts w:hint="eastAsia" w:eastAsia="方正黑体_GBK" w:cs="Times New Roman"/>
          <w:color w:val="000000" w:themeColor="text1"/>
          <w:szCs w:val="32"/>
          <w:highlight w:val="none"/>
          <w:lang w:val="en-US" w:eastAsia="zh-CN"/>
          <w14:textFill>
            <w14:solidFill>
              <w14:schemeClr w14:val="tx1"/>
            </w14:solidFill>
          </w14:textFill>
        </w:rPr>
        <w:t>4</w:t>
      </w:r>
      <w:bookmarkStart w:id="104" w:name="_GoBack"/>
      <w:bookmarkEnd w:id="104"/>
      <w:r>
        <w:rPr>
          <w:rFonts w:hint="default" w:ascii="Times New Roman" w:hAnsi="Times New Roman" w:eastAsia="方正黑体_GBK" w:cs="Times New Roman"/>
          <w:color w:val="000000" w:themeColor="text1"/>
          <w:szCs w:val="32"/>
          <w:highlight w:val="none"/>
          <w14:textFill>
            <w14:solidFill>
              <w14:schemeClr w14:val="tx1"/>
            </w14:solidFill>
          </w14:textFill>
        </w:rPr>
        <w:t>月</w:t>
      </w:r>
    </w:p>
    <w:p w14:paraId="1EB664C2">
      <w:pPr>
        <w:spacing w:line="560" w:lineRule="exact"/>
        <w:ind w:firstLine="640"/>
        <w:rPr>
          <w:rFonts w:hint="default" w:ascii="Times New Roman" w:hAnsi="Times New Roman" w:eastAsia="方正黑体_GBK" w:cs="Times New Roman"/>
          <w:color w:val="000000" w:themeColor="text1"/>
          <w:szCs w:val="32"/>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1020" w:footer="1247" w:gutter="0"/>
          <w:pgNumType w:start="0"/>
          <w:cols w:space="425" w:num="1"/>
          <w:docGrid w:type="lines" w:linePitch="312" w:charSpace="0"/>
        </w:sectPr>
      </w:pPr>
    </w:p>
    <w:sdt>
      <w:sdtPr>
        <w:rPr>
          <w:rFonts w:hint="default" w:ascii="Times New Roman" w:hAnsi="Times New Roman" w:eastAsia="黑体" w:cs="Times New Roman"/>
          <w:color w:val="000000" w:themeColor="text1"/>
          <w:sz w:val="32"/>
          <w:szCs w:val="32"/>
          <w:highlight w:val="none"/>
          <w:lang w:eastAsia="en-US"/>
          <w14:textFill>
            <w14:solidFill>
              <w14:schemeClr w14:val="tx1"/>
            </w14:solidFill>
          </w14:textFill>
        </w:rPr>
        <w:id w:val="147461346"/>
        <w15:color w:val="DBDBDB"/>
        <w:docPartObj>
          <w:docPartGallery w:val="Table of Contents"/>
          <w:docPartUnique/>
        </w:docPartObj>
      </w:sdtPr>
      <w:sdtEndPr>
        <w:rPr>
          <w:rFonts w:hint="default" w:ascii="Times New Roman" w:hAnsi="Times New Roman" w:eastAsia="方正仿宋_GBK" w:cs="Times New Roman"/>
          <w:color w:val="000000" w:themeColor="text1"/>
          <w:sz w:val="31"/>
          <w:szCs w:val="31"/>
          <w:highlight w:val="none"/>
          <w:lang w:eastAsia="en-US"/>
          <w14:textFill>
            <w14:solidFill>
              <w14:schemeClr w14:val="tx1"/>
            </w14:solidFill>
          </w14:textFill>
        </w:rPr>
      </w:sdtEndPr>
      <w:sdtContent>
        <w:p w14:paraId="0C36654A">
          <w:pPr>
            <w:pStyle w:val="36"/>
            <w:numPr>
              <w:ilvl w:val="0"/>
              <w:numId w:val="0"/>
            </w:numPr>
            <w:spacing w:before="435" w:after="435" w:line="560" w:lineRule="exact"/>
            <w:rPr>
              <w:rFonts w:hint="default" w:ascii="Times New Roman" w:hAnsi="Times New Roman" w:eastAsia="黑体" w:cs="Times New Roman"/>
              <w:color w:val="000000" w:themeColor="text1"/>
              <w:szCs w:val="36"/>
              <w:highlight w:val="none"/>
              <w14:textFill>
                <w14:solidFill>
                  <w14:schemeClr w14:val="tx1"/>
                </w14:solidFill>
              </w14:textFill>
            </w:rPr>
          </w:pPr>
          <w:r>
            <w:rPr>
              <w:rFonts w:hint="default" w:ascii="Times New Roman" w:hAnsi="Times New Roman" w:eastAsia="黑体" w:cs="Times New Roman"/>
              <w:color w:val="000000" w:themeColor="text1"/>
              <w:szCs w:val="36"/>
              <w:highlight w:val="none"/>
              <w14:textFill>
                <w14:solidFill>
                  <w14:schemeClr w14:val="tx1"/>
                </w14:solidFill>
              </w14:textFill>
            </w:rPr>
            <w:t>目    录</w:t>
          </w:r>
        </w:p>
        <w:p w14:paraId="12E2028A">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TOC \o "1-2" \h \u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"_Toc11731" </w:instrText>
          </w:r>
          <w:r>
            <w:rPr>
              <w:rFonts w:hint="default" w:ascii="Times New Roman" w:hAnsi="Times New Roman" w:cs="Times New Roman"/>
              <w:highlight w:val="none"/>
            </w:rPr>
            <w:fldChar w:fldCharType="separate"/>
          </w:r>
          <w:r>
            <w:rPr>
              <w:rFonts w:hint="default" w:ascii="Times New Roman" w:hAnsi="Times New Roman" w:eastAsia="黑体" w:cs="Times New Roman"/>
              <w:szCs w:val="32"/>
              <w:highlight w:val="none"/>
            </w:rPr>
            <w:t>第一章 发展环境</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_Toc11731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1</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038826C7">
          <w:pPr>
            <w:pStyle w:val="19"/>
            <w:tabs>
              <w:tab w:val="right" w:leader="dot" w:pos="8306"/>
            </w:tabs>
            <w:ind w:firstLine="0" w:firstLineChars="0"/>
            <w:rPr>
              <w:rFonts w:hint="default" w:ascii="Times New Roman" w:hAnsi="Times New Roman" w:cs="Times New Roman"/>
              <w:bCs/>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"_Toc3138"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第一节 主要成就</w:t>
          </w:r>
          <w:r>
            <w:rPr>
              <w:rFonts w:hint="default" w:ascii="Times New Roman" w:hAnsi="Times New Roman" w:cs="Times New Roman"/>
              <w:bCs/>
              <w:highlight w:val="none"/>
            </w:rPr>
            <w:tab/>
          </w:r>
          <w:r>
            <w:rPr>
              <w:rFonts w:hint="default" w:ascii="Times New Roman" w:hAnsi="Times New Roman" w:cs="Times New Roman"/>
              <w:bCs/>
              <w:highlight w:val="none"/>
            </w:rPr>
            <w:fldChar w:fldCharType="begin"/>
          </w:r>
          <w:r>
            <w:rPr>
              <w:rFonts w:hint="default" w:ascii="Times New Roman" w:hAnsi="Times New Roman" w:cs="Times New Roman"/>
              <w:bCs/>
              <w:highlight w:val="none"/>
            </w:rPr>
            <w:instrText xml:space="preserve"> PAGEREF _Toc3138 \h </w:instrText>
          </w:r>
          <w:r>
            <w:rPr>
              <w:rFonts w:hint="default" w:ascii="Times New Roman" w:hAnsi="Times New Roman" w:cs="Times New Roman"/>
              <w:bCs/>
              <w:highlight w:val="none"/>
            </w:rPr>
            <w:fldChar w:fldCharType="separate"/>
          </w:r>
          <w:r>
            <w:rPr>
              <w:rFonts w:hint="default" w:ascii="Times New Roman" w:hAnsi="Times New Roman" w:cs="Times New Roman"/>
              <w:bCs/>
              <w:highlight w:val="none"/>
            </w:rPr>
            <w:t>1</w:t>
          </w:r>
          <w:r>
            <w:rPr>
              <w:rFonts w:hint="default" w:ascii="Times New Roman" w:hAnsi="Times New Roman" w:cs="Times New Roman"/>
              <w:bCs/>
              <w:highlight w:val="none"/>
            </w:rPr>
            <w:fldChar w:fldCharType="end"/>
          </w:r>
          <w:r>
            <w:rPr>
              <w:rFonts w:hint="default" w:ascii="Times New Roman" w:hAnsi="Times New Roman" w:cs="Times New Roman"/>
              <w:bCs/>
              <w:highlight w:val="none"/>
            </w:rPr>
            <w:fldChar w:fldCharType="end"/>
          </w:r>
        </w:p>
        <w:p w14:paraId="19444E14">
          <w:pPr>
            <w:pStyle w:val="19"/>
            <w:tabs>
              <w:tab w:val="right" w:leader="dot" w:pos="8306"/>
            </w:tabs>
            <w:ind w:firstLine="0" w:firstLineChars="0"/>
            <w:rPr>
              <w:rFonts w:hint="default" w:ascii="Times New Roman" w:hAnsi="Times New Roman" w:cs="Times New Roman"/>
              <w:bCs/>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"_Toc7687"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第二节 主要机遇</w:t>
          </w:r>
          <w:r>
            <w:rPr>
              <w:rFonts w:hint="default" w:ascii="Times New Roman" w:hAnsi="Times New Roman" w:cs="Times New Roman"/>
              <w:bCs/>
              <w:highlight w:val="none"/>
            </w:rPr>
            <w:tab/>
          </w:r>
          <w:r>
            <w:rPr>
              <w:rFonts w:hint="default" w:ascii="Times New Roman" w:hAnsi="Times New Roman" w:cs="Times New Roman"/>
              <w:bCs/>
              <w:highlight w:val="none"/>
            </w:rPr>
            <w:fldChar w:fldCharType="begin"/>
          </w:r>
          <w:r>
            <w:rPr>
              <w:rFonts w:hint="default" w:ascii="Times New Roman" w:hAnsi="Times New Roman" w:cs="Times New Roman"/>
              <w:bCs/>
              <w:highlight w:val="none"/>
            </w:rPr>
            <w:instrText xml:space="preserve"> PAGEREF _Toc7687 \h </w:instrText>
          </w:r>
          <w:r>
            <w:rPr>
              <w:rFonts w:hint="default" w:ascii="Times New Roman" w:hAnsi="Times New Roman" w:cs="Times New Roman"/>
              <w:bCs/>
              <w:highlight w:val="none"/>
            </w:rPr>
            <w:fldChar w:fldCharType="separate"/>
          </w:r>
          <w:r>
            <w:rPr>
              <w:rFonts w:hint="default" w:ascii="Times New Roman" w:hAnsi="Times New Roman" w:cs="Times New Roman"/>
              <w:bCs/>
              <w:highlight w:val="none"/>
            </w:rPr>
            <w:t>8</w:t>
          </w:r>
          <w:r>
            <w:rPr>
              <w:rFonts w:hint="default" w:ascii="Times New Roman" w:hAnsi="Times New Roman" w:cs="Times New Roman"/>
              <w:bCs/>
              <w:highlight w:val="none"/>
            </w:rPr>
            <w:fldChar w:fldCharType="end"/>
          </w:r>
          <w:r>
            <w:rPr>
              <w:rFonts w:hint="default" w:ascii="Times New Roman" w:hAnsi="Times New Roman" w:cs="Times New Roman"/>
              <w:bCs/>
              <w:highlight w:val="none"/>
            </w:rPr>
            <w:fldChar w:fldCharType="end"/>
          </w:r>
        </w:p>
        <w:p w14:paraId="6C740811">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"_Toc30702"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第三节 挑战与问题</w:t>
          </w:r>
          <w:r>
            <w:rPr>
              <w:rFonts w:hint="default" w:ascii="Times New Roman" w:hAnsi="Times New Roman" w:cs="Times New Roman"/>
              <w:bCs/>
              <w:highlight w:val="none"/>
            </w:rPr>
            <w:tab/>
          </w:r>
          <w:r>
            <w:rPr>
              <w:rFonts w:hint="default" w:ascii="Times New Roman" w:hAnsi="Times New Roman" w:cs="Times New Roman"/>
              <w:bCs/>
              <w:highlight w:val="none"/>
            </w:rPr>
            <w:fldChar w:fldCharType="begin"/>
          </w:r>
          <w:r>
            <w:rPr>
              <w:rFonts w:hint="default" w:ascii="Times New Roman" w:hAnsi="Times New Roman" w:cs="Times New Roman"/>
              <w:bCs/>
              <w:highlight w:val="none"/>
            </w:rPr>
            <w:instrText xml:space="preserve"> PAGEREF _Toc30702 \h </w:instrText>
          </w:r>
          <w:r>
            <w:rPr>
              <w:rFonts w:hint="default" w:ascii="Times New Roman" w:hAnsi="Times New Roman" w:cs="Times New Roman"/>
              <w:bCs/>
              <w:highlight w:val="none"/>
            </w:rPr>
            <w:fldChar w:fldCharType="separate"/>
          </w:r>
          <w:r>
            <w:rPr>
              <w:rFonts w:hint="default" w:ascii="Times New Roman" w:hAnsi="Times New Roman" w:cs="Times New Roman"/>
              <w:bCs/>
              <w:highlight w:val="none"/>
            </w:rPr>
            <w:t>10</w:t>
          </w:r>
          <w:r>
            <w:rPr>
              <w:rFonts w:hint="default" w:ascii="Times New Roman" w:hAnsi="Times New Roman" w:cs="Times New Roman"/>
              <w:bCs/>
              <w:highlight w:val="none"/>
            </w:rPr>
            <w:fldChar w:fldCharType="end"/>
          </w:r>
          <w:r>
            <w:rPr>
              <w:rFonts w:hint="default" w:ascii="Times New Roman" w:hAnsi="Times New Roman" w:cs="Times New Roman"/>
              <w:bCs/>
              <w:highlight w:val="none"/>
            </w:rPr>
            <w:fldChar w:fldCharType="end"/>
          </w:r>
        </w:p>
        <w:p w14:paraId="3A6653DC">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"_Toc14660" </w:instrText>
          </w:r>
          <w:r>
            <w:rPr>
              <w:rFonts w:hint="default" w:ascii="Times New Roman" w:hAnsi="Times New Roman" w:cs="Times New Roman"/>
              <w:highlight w:val="none"/>
            </w:rPr>
            <w:fldChar w:fldCharType="separate"/>
          </w:r>
          <w:r>
            <w:rPr>
              <w:rFonts w:hint="default" w:ascii="Times New Roman" w:hAnsi="Times New Roman" w:eastAsia="黑体" w:cs="Times New Roman"/>
              <w:szCs w:val="32"/>
              <w:highlight w:val="none"/>
            </w:rPr>
            <w:t>第二章 发展思路</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_Toc14660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11</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02ABF71E">
          <w:pPr>
            <w:pStyle w:val="19"/>
            <w:tabs>
              <w:tab w:val="right" w:leader="dot" w:pos="8306"/>
            </w:tabs>
            <w:ind w:firstLine="0" w:firstLineChars="0"/>
            <w:rPr>
              <w:rFonts w:hint="default" w:ascii="Times New Roman" w:hAnsi="Times New Roman" w:cs="Times New Roman"/>
              <w:bCs/>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"_Toc21011"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第一节 指导思想</w:t>
          </w:r>
          <w:r>
            <w:rPr>
              <w:rFonts w:hint="default" w:ascii="Times New Roman" w:hAnsi="Times New Roman" w:cs="Times New Roman"/>
              <w:bCs/>
              <w:highlight w:val="none"/>
            </w:rPr>
            <w:tab/>
          </w:r>
          <w:r>
            <w:rPr>
              <w:rFonts w:hint="default" w:ascii="Times New Roman" w:hAnsi="Times New Roman" w:cs="Times New Roman"/>
              <w:bCs/>
              <w:highlight w:val="none"/>
            </w:rPr>
            <w:fldChar w:fldCharType="begin"/>
          </w:r>
          <w:r>
            <w:rPr>
              <w:rFonts w:hint="default" w:ascii="Times New Roman" w:hAnsi="Times New Roman" w:cs="Times New Roman"/>
              <w:bCs/>
              <w:highlight w:val="none"/>
            </w:rPr>
            <w:instrText xml:space="preserve"> PAGEREF _Toc21011 \h </w:instrText>
          </w:r>
          <w:r>
            <w:rPr>
              <w:rFonts w:hint="default" w:ascii="Times New Roman" w:hAnsi="Times New Roman" w:cs="Times New Roman"/>
              <w:bCs/>
              <w:highlight w:val="none"/>
            </w:rPr>
            <w:fldChar w:fldCharType="separate"/>
          </w:r>
          <w:r>
            <w:rPr>
              <w:rFonts w:hint="default" w:ascii="Times New Roman" w:hAnsi="Times New Roman" w:cs="Times New Roman"/>
              <w:bCs/>
              <w:highlight w:val="none"/>
            </w:rPr>
            <w:t>11</w:t>
          </w:r>
          <w:r>
            <w:rPr>
              <w:rFonts w:hint="default" w:ascii="Times New Roman" w:hAnsi="Times New Roman" w:cs="Times New Roman"/>
              <w:bCs/>
              <w:highlight w:val="none"/>
            </w:rPr>
            <w:fldChar w:fldCharType="end"/>
          </w:r>
          <w:r>
            <w:rPr>
              <w:rFonts w:hint="default" w:ascii="Times New Roman" w:hAnsi="Times New Roman" w:cs="Times New Roman"/>
              <w:bCs/>
              <w:highlight w:val="none"/>
            </w:rPr>
            <w:fldChar w:fldCharType="end"/>
          </w:r>
        </w:p>
        <w:p w14:paraId="1A33E55C">
          <w:pPr>
            <w:pStyle w:val="19"/>
            <w:tabs>
              <w:tab w:val="right" w:leader="dot" w:pos="8306"/>
            </w:tabs>
            <w:ind w:firstLine="0" w:firstLineChars="0"/>
            <w:rPr>
              <w:rFonts w:hint="default" w:ascii="Times New Roman" w:hAnsi="Times New Roman" w:cs="Times New Roman"/>
              <w:bCs/>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"_Toc21342"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第二节 基本原则</w:t>
          </w:r>
          <w:r>
            <w:rPr>
              <w:rFonts w:hint="default" w:ascii="Times New Roman" w:hAnsi="Times New Roman" w:cs="Times New Roman"/>
              <w:bCs/>
              <w:highlight w:val="none"/>
            </w:rPr>
            <w:tab/>
          </w:r>
          <w:r>
            <w:rPr>
              <w:rFonts w:hint="default" w:ascii="Times New Roman" w:hAnsi="Times New Roman" w:cs="Times New Roman"/>
              <w:bCs/>
              <w:highlight w:val="none"/>
            </w:rPr>
            <w:fldChar w:fldCharType="begin"/>
          </w:r>
          <w:r>
            <w:rPr>
              <w:rFonts w:hint="default" w:ascii="Times New Roman" w:hAnsi="Times New Roman" w:cs="Times New Roman"/>
              <w:bCs/>
              <w:highlight w:val="none"/>
            </w:rPr>
            <w:instrText xml:space="preserve"> PAGEREF _Toc21342 \h </w:instrText>
          </w:r>
          <w:r>
            <w:rPr>
              <w:rFonts w:hint="default" w:ascii="Times New Roman" w:hAnsi="Times New Roman" w:cs="Times New Roman"/>
              <w:bCs/>
              <w:highlight w:val="none"/>
            </w:rPr>
            <w:fldChar w:fldCharType="separate"/>
          </w:r>
          <w:r>
            <w:rPr>
              <w:rFonts w:hint="default" w:ascii="Times New Roman" w:hAnsi="Times New Roman" w:cs="Times New Roman"/>
              <w:bCs/>
              <w:highlight w:val="none"/>
            </w:rPr>
            <w:t>12</w:t>
          </w:r>
          <w:r>
            <w:rPr>
              <w:rFonts w:hint="default" w:ascii="Times New Roman" w:hAnsi="Times New Roman" w:cs="Times New Roman"/>
              <w:bCs/>
              <w:highlight w:val="none"/>
            </w:rPr>
            <w:fldChar w:fldCharType="end"/>
          </w:r>
          <w:r>
            <w:rPr>
              <w:rFonts w:hint="default" w:ascii="Times New Roman" w:hAnsi="Times New Roman" w:cs="Times New Roman"/>
              <w:bCs/>
              <w:highlight w:val="none"/>
            </w:rPr>
            <w:fldChar w:fldCharType="end"/>
          </w:r>
        </w:p>
        <w:p w14:paraId="53F2BB63">
          <w:pPr>
            <w:pStyle w:val="19"/>
            <w:tabs>
              <w:tab w:val="right" w:leader="dot" w:pos="8306"/>
            </w:tabs>
            <w:ind w:firstLine="0" w:firstLineChars="0"/>
            <w:rPr>
              <w:rFonts w:hint="default" w:ascii="Times New Roman" w:hAnsi="Times New Roman" w:cs="Times New Roman"/>
              <w:bCs/>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"_Toc1479"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第三节 战略定位</w:t>
          </w:r>
          <w:r>
            <w:rPr>
              <w:rFonts w:hint="default" w:ascii="Times New Roman" w:hAnsi="Times New Roman" w:cs="Times New Roman"/>
              <w:bCs/>
              <w:highlight w:val="none"/>
            </w:rPr>
            <w:tab/>
          </w:r>
          <w:r>
            <w:rPr>
              <w:rFonts w:hint="default" w:ascii="Times New Roman" w:hAnsi="Times New Roman" w:cs="Times New Roman"/>
              <w:bCs/>
              <w:highlight w:val="none"/>
            </w:rPr>
            <w:fldChar w:fldCharType="begin"/>
          </w:r>
          <w:r>
            <w:rPr>
              <w:rFonts w:hint="default" w:ascii="Times New Roman" w:hAnsi="Times New Roman" w:cs="Times New Roman"/>
              <w:bCs/>
              <w:highlight w:val="none"/>
            </w:rPr>
            <w:instrText xml:space="preserve"> PAGEREF _Toc1479 \h </w:instrText>
          </w:r>
          <w:r>
            <w:rPr>
              <w:rFonts w:hint="default" w:ascii="Times New Roman" w:hAnsi="Times New Roman" w:cs="Times New Roman"/>
              <w:bCs/>
              <w:highlight w:val="none"/>
            </w:rPr>
            <w:fldChar w:fldCharType="separate"/>
          </w:r>
          <w:r>
            <w:rPr>
              <w:rFonts w:hint="default" w:ascii="Times New Roman" w:hAnsi="Times New Roman" w:cs="Times New Roman"/>
              <w:bCs/>
              <w:highlight w:val="none"/>
            </w:rPr>
            <w:t>13</w:t>
          </w:r>
          <w:r>
            <w:rPr>
              <w:rFonts w:hint="default" w:ascii="Times New Roman" w:hAnsi="Times New Roman" w:cs="Times New Roman"/>
              <w:bCs/>
              <w:highlight w:val="none"/>
            </w:rPr>
            <w:fldChar w:fldCharType="end"/>
          </w:r>
          <w:r>
            <w:rPr>
              <w:rFonts w:hint="default" w:ascii="Times New Roman" w:hAnsi="Times New Roman" w:cs="Times New Roman"/>
              <w:bCs/>
              <w:highlight w:val="none"/>
            </w:rPr>
            <w:fldChar w:fldCharType="end"/>
          </w:r>
        </w:p>
        <w:p w14:paraId="220BA1F4">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"_Toc16225"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第四节 发展目标</w:t>
          </w:r>
          <w:r>
            <w:rPr>
              <w:rFonts w:hint="default" w:ascii="Times New Roman" w:hAnsi="Times New Roman" w:cs="Times New Roman"/>
              <w:bCs/>
              <w:highlight w:val="none"/>
            </w:rPr>
            <w:tab/>
          </w:r>
          <w:r>
            <w:rPr>
              <w:rFonts w:hint="default" w:ascii="Times New Roman" w:hAnsi="Times New Roman" w:cs="Times New Roman"/>
              <w:bCs/>
              <w:highlight w:val="none"/>
            </w:rPr>
            <w:fldChar w:fldCharType="begin"/>
          </w:r>
          <w:r>
            <w:rPr>
              <w:rFonts w:hint="default" w:ascii="Times New Roman" w:hAnsi="Times New Roman" w:cs="Times New Roman"/>
              <w:bCs/>
              <w:highlight w:val="none"/>
            </w:rPr>
            <w:instrText xml:space="preserve"> PAGEREF _Toc16225 \h </w:instrText>
          </w:r>
          <w:r>
            <w:rPr>
              <w:rFonts w:hint="default" w:ascii="Times New Roman" w:hAnsi="Times New Roman" w:cs="Times New Roman"/>
              <w:bCs/>
              <w:highlight w:val="none"/>
            </w:rPr>
            <w:fldChar w:fldCharType="separate"/>
          </w:r>
          <w:r>
            <w:rPr>
              <w:rFonts w:hint="default" w:ascii="Times New Roman" w:hAnsi="Times New Roman" w:cs="Times New Roman"/>
              <w:bCs/>
              <w:highlight w:val="none"/>
            </w:rPr>
            <w:t>15</w:t>
          </w:r>
          <w:r>
            <w:rPr>
              <w:rFonts w:hint="default" w:ascii="Times New Roman" w:hAnsi="Times New Roman" w:cs="Times New Roman"/>
              <w:bCs/>
              <w:highlight w:val="none"/>
            </w:rPr>
            <w:fldChar w:fldCharType="end"/>
          </w:r>
          <w:r>
            <w:rPr>
              <w:rFonts w:hint="default" w:ascii="Times New Roman" w:hAnsi="Times New Roman" w:cs="Times New Roman"/>
              <w:bCs/>
              <w:highlight w:val="none"/>
            </w:rPr>
            <w:fldChar w:fldCharType="end"/>
          </w:r>
        </w:p>
        <w:p w14:paraId="3350D114">
          <w:pPr>
            <w:pStyle w:val="19"/>
            <w:tabs>
              <w:tab w:val="right" w:leader="dot" w:pos="8306"/>
            </w:tabs>
            <w:ind w:firstLine="0" w:firstLineChars="0"/>
            <w:rPr>
              <w:rFonts w:hint="default" w:ascii="Times New Roman" w:hAnsi="Times New Roman" w:eastAsia="黑体" w:cs="Times New Roman"/>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_Toc1285 </w:instrText>
          </w:r>
          <w:r>
            <w:rPr>
              <w:rFonts w:hint="default" w:ascii="Times New Roman" w:hAnsi="Times New Roman" w:cs="Times New Roman"/>
              <w:highlight w:val="none"/>
            </w:rPr>
            <w:fldChar w:fldCharType="separate"/>
          </w:r>
          <w:r>
            <w:rPr>
              <w:rFonts w:hint="default" w:ascii="Times New Roman" w:hAnsi="Times New Roman" w:eastAsia="黑体" w:cs="Times New Roman"/>
              <w:szCs w:val="32"/>
              <w:highlight w:val="none"/>
            </w:rPr>
            <w:t>第三章 铸牢中华民族共同体意识，深化民族团结进步创建</w:t>
          </w:r>
        </w:p>
        <w:p w14:paraId="3E71B206">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_Toc1285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19</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2AC76E24">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"_Toc28144"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第一节 健全常态化长效化工作机制</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_Toc28144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19</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3FD92C60">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"_Toc4631"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第二节 构建高质量研究宣传教育体系</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_Toc4631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20</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09883BCA">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"_Toc9119"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第三节 深化民族团结进步创建</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_Toc9119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21</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4A6A70DA">
          <w:pPr>
            <w:pStyle w:val="19"/>
            <w:tabs>
              <w:tab w:val="right" w:leader="dot" w:pos="8306"/>
            </w:tabs>
            <w:ind w:firstLine="0" w:firstLineChars="0"/>
            <w:jc w:val="distribute"/>
            <w:rPr>
              <w:rFonts w:hint="default" w:ascii="Times New Roman" w:hAnsi="Times New Roman" w:eastAsia="黑体" w:cs="Times New Roman"/>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"_Toc25861" </w:instrText>
          </w:r>
          <w:r>
            <w:rPr>
              <w:rFonts w:hint="default" w:ascii="Times New Roman" w:hAnsi="Times New Roman" w:cs="Times New Roman"/>
              <w:highlight w:val="none"/>
            </w:rPr>
            <w:fldChar w:fldCharType="separate"/>
          </w:r>
          <w:r>
            <w:rPr>
              <w:rFonts w:hint="default" w:ascii="Times New Roman" w:hAnsi="Times New Roman" w:eastAsia="黑体" w:cs="Times New Roman"/>
              <w:szCs w:val="32"/>
              <w:highlight w:val="none"/>
            </w:rPr>
            <w:t>第四章 因地制宜发展新质生产力，</w:t>
          </w:r>
          <w:r>
            <w:rPr>
              <w:rFonts w:hint="default" w:ascii="Times New Roman" w:hAnsi="Times New Roman" w:eastAsia="黑体" w:cs="Times New Roman"/>
              <w:szCs w:val="32"/>
              <w:highlight w:val="none"/>
            </w:rPr>
            <w:fldChar w:fldCharType="end"/>
          </w:r>
          <w:r>
            <w:rPr>
              <w:rFonts w:hint="default" w:ascii="Times New Roman" w:hAnsi="Times New Roman" w:eastAsia="黑体" w:cs="Times New Roman"/>
              <w:szCs w:val="32"/>
              <w:highlight w:val="none"/>
            </w:rPr>
            <w:fldChar w:fldCharType="begin"/>
          </w:r>
          <w:r>
            <w:rPr>
              <w:rFonts w:hint="default" w:ascii="Times New Roman" w:hAnsi="Times New Roman" w:eastAsia="黑体" w:cs="Times New Roman"/>
              <w:szCs w:val="32"/>
              <w:highlight w:val="none"/>
            </w:rPr>
            <w:instrText xml:space="preserve"> HYPERLINK \l _Toc12039 </w:instrText>
          </w:r>
          <w:r>
            <w:rPr>
              <w:rFonts w:hint="default" w:ascii="Times New Roman" w:hAnsi="Times New Roman" w:eastAsia="黑体" w:cs="Times New Roman"/>
              <w:szCs w:val="32"/>
              <w:highlight w:val="none"/>
            </w:rPr>
            <w:fldChar w:fldCharType="separate"/>
          </w:r>
          <w:r>
            <w:rPr>
              <w:rFonts w:hint="default" w:ascii="Times New Roman" w:hAnsi="Times New Roman" w:eastAsia="黑体" w:cs="Times New Roman"/>
              <w:szCs w:val="32"/>
              <w:highlight w:val="none"/>
            </w:rPr>
            <w:t>构建具有区域特色和竞</w:t>
          </w:r>
        </w:p>
        <w:p w14:paraId="70782512">
          <w:pPr>
            <w:pStyle w:val="19"/>
            <w:tabs>
              <w:tab w:val="right" w:leader="dot" w:pos="8306"/>
            </w:tabs>
            <w:ind w:firstLine="0" w:firstLineChars="0"/>
            <w:jc w:val="distribute"/>
            <w:rPr>
              <w:rFonts w:hint="default" w:ascii="Times New Roman" w:hAnsi="Times New Roman" w:cs="Times New Roman"/>
              <w:highlight w:val="none"/>
            </w:rPr>
          </w:pPr>
          <w:r>
            <w:rPr>
              <w:rFonts w:hint="default" w:ascii="Times New Roman" w:hAnsi="Times New Roman" w:eastAsia="黑体" w:cs="Times New Roman"/>
              <w:szCs w:val="32"/>
              <w:highlight w:val="none"/>
            </w:rPr>
            <w:t>争力的现代化产业体系</w:t>
          </w:r>
          <w:r>
            <w:rPr>
              <w:rFonts w:hint="default" w:ascii="Times New Roman" w:hAnsi="Times New Roman" w:eastAsia="黑体" w:cs="Times New Roman"/>
              <w:szCs w:val="32"/>
              <w:highlight w:val="none"/>
            </w:rPr>
            <w:tab/>
          </w:r>
          <w:r>
            <w:rPr>
              <w:rFonts w:hint="default" w:ascii="Times New Roman" w:hAnsi="Times New Roman" w:eastAsia="黑体" w:cs="Times New Roman"/>
              <w:szCs w:val="32"/>
              <w:highlight w:val="none"/>
            </w:rPr>
            <w:fldChar w:fldCharType="begin"/>
          </w:r>
          <w:r>
            <w:rPr>
              <w:rFonts w:hint="default" w:ascii="Times New Roman" w:hAnsi="Times New Roman" w:eastAsia="黑体" w:cs="Times New Roman"/>
              <w:szCs w:val="32"/>
              <w:highlight w:val="none"/>
            </w:rPr>
            <w:instrText xml:space="preserve"> PAGEREF _Toc12039 \h </w:instrText>
          </w:r>
          <w:r>
            <w:rPr>
              <w:rFonts w:hint="default" w:ascii="Times New Roman" w:hAnsi="Times New Roman" w:eastAsia="黑体" w:cs="Times New Roman"/>
              <w:szCs w:val="32"/>
              <w:highlight w:val="none"/>
            </w:rPr>
            <w:fldChar w:fldCharType="separate"/>
          </w:r>
          <w:r>
            <w:rPr>
              <w:rFonts w:hint="default" w:ascii="Times New Roman" w:hAnsi="Times New Roman" w:eastAsia="黑体" w:cs="Times New Roman"/>
              <w:szCs w:val="32"/>
              <w:highlight w:val="none"/>
            </w:rPr>
            <w:t>21</w:t>
          </w:r>
          <w:r>
            <w:rPr>
              <w:rFonts w:hint="default" w:ascii="Times New Roman" w:hAnsi="Times New Roman" w:eastAsia="黑体" w:cs="Times New Roman"/>
              <w:szCs w:val="32"/>
              <w:highlight w:val="none"/>
            </w:rPr>
            <w:fldChar w:fldCharType="end"/>
          </w:r>
          <w:r>
            <w:rPr>
              <w:rFonts w:hint="default" w:ascii="Times New Roman" w:hAnsi="Times New Roman" w:eastAsia="黑体" w:cs="Times New Roman"/>
              <w:szCs w:val="32"/>
              <w:highlight w:val="none"/>
            </w:rPr>
            <w:fldChar w:fldCharType="end"/>
          </w:r>
        </w:p>
        <w:p w14:paraId="4C33277D">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"_Toc5586" </w:instrText>
          </w:r>
          <w:r>
            <w:rPr>
              <w:rFonts w:hint="default" w:ascii="Times New Roman" w:hAnsi="Times New Roman" w:cs="Times New Roman"/>
              <w:highlight w:val="none"/>
            </w:rPr>
            <w:fldChar w:fldCharType="separate"/>
          </w:r>
          <w:r>
            <w:rPr>
              <w:rFonts w:hint="default" w:ascii="Times New Roman" w:hAnsi="Times New Roman" w:cs="Times New Roman"/>
              <w:bCs/>
              <w:szCs w:val="32"/>
              <w:highlight w:val="none"/>
            </w:rPr>
            <w:t xml:space="preserve">第一节 </w:t>
          </w:r>
          <w:r>
            <w:rPr>
              <w:rFonts w:hint="default" w:ascii="Times New Roman" w:hAnsi="Times New Roman" w:cs="Times New Roman"/>
              <w:bCs/>
              <w:highlight w:val="none"/>
            </w:rPr>
            <w:t>加快建设我国北方最大的绿色铝加工基地</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_Toc5586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22</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617EBB4D">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"_Toc1198"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第二节 积极发展再生资源循环利用产业</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_Toc1198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25</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55E47175">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"_Toc14672"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第三节 着力发展战略性新兴产业和未来产业</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_Toc14672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26</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37E17257">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"_Toc5879"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第四节 全力培育有影响力的轻工业品牌</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_Toc5879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28</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4EFB6058">
          <w:pPr>
            <w:pStyle w:val="19"/>
            <w:tabs>
              <w:tab w:val="right" w:leader="dot" w:pos="8306"/>
            </w:tabs>
            <w:ind w:firstLine="0" w:firstLineChars="0"/>
            <w:rPr>
              <w:rFonts w:hint="default" w:ascii="Times New Roman" w:hAnsi="Times New Roman" w:cs="Times New Roman"/>
              <w:highlight w:val="none"/>
            </w:rPr>
            <w:sectPr>
              <w:headerReference r:id="rId11" w:type="default"/>
              <w:footerReference r:id="rId12" w:type="default"/>
              <w:pgSz w:w="11906" w:h="16838"/>
              <w:pgMar w:top="1440" w:right="1800" w:bottom="1440" w:left="1800" w:header="1020" w:footer="1247" w:gutter="0"/>
              <w:cols w:space="425" w:num="1"/>
              <w:docGrid w:type="lines" w:linePitch="435" w:charSpace="0"/>
            </w:sectPr>
          </w:pPr>
        </w:p>
        <w:p w14:paraId="5EEC4F77">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"_Toc19914"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第五节 打造绿色低碳铝业产业园区</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_Toc19914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30</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2AB17C99">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"_Toc12974"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第六节 推进智能化绿色化融合化发展</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_Toc12974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30</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7605B06D">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"_Toc15835"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第七节 加快打造精品农业样板区</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_Toc15835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31</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534E444D">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"_Toc11510"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第八节 加快建设生产性服务业基地</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_Toc11510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33</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7C9F1DCD">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"_Toc13101"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第九节 加快打造烟火生活和文旅休闲体验地</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_Toc13101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36</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7F474DE2">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_Toc21920 </w:instrText>
          </w:r>
          <w:r>
            <w:rPr>
              <w:rFonts w:hint="default" w:ascii="Times New Roman" w:hAnsi="Times New Roman" w:cs="Times New Roman"/>
              <w:highlight w:val="none"/>
            </w:rPr>
            <w:fldChar w:fldCharType="separate"/>
          </w:r>
          <w:r>
            <w:rPr>
              <w:rFonts w:hint="default" w:ascii="Times New Roman" w:hAnsi="Times New Roman" w:eastAsia="黑体" w:cs="Times New Roman"/>
              <w:szCs w:val="32"/>
              <w:highlight w:val="none"/>
            </w:rPr>
            <w:t>第五章 深入实施创新驱动发展战略，努力培育增长新动能</w:t>
          </w:r>
          <w:r>
            <w:rPr>
              <w:rFonts w:hint="default" w:ascii="Times New Roman" w:hAnsi="Times New Roman" w:cs="Times New Roman"/>
              <w:highlight w:val="none"/>
            </w:rPr>
            <w:tab/>
          </w:r>
        </w:p>
        <w:p w14:paraId="6D83E696">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_Toc21920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40</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783202B2">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"_Toc32754"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第一节 打造高能级科创平台</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_Toc32754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40</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319E70C2">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"_Toc31022"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第二节 培育科技型创新主体</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_Toc31022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41</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26589353">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"_Toc23887"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第三节 推动关键性技术攻关</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_Toc23887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42</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2F18B09E">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"_Toc22554"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第四节 营造高质量创新生态</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_Toc22554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43</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613C7297">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"_Toc28191"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第五节 加快创新型人才引育</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_Toc28191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44</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6704F8D9">
          <w:pPr>
            <w:pStyle w:val="19"/>
            <w:tabs>
              <w:tab w:val="right" w:leader="dot" w:pos="8306"/>
            </w:tabs>
            <w:ind w:firstLine="0" w:firstLineChars="0"/>
            <w:jc w:val="distribute"/>
            <w:rPr>
              <w:rFonts w:hint="default" w:ascii="Times New Roman" w:hAnsi="Times New Roman" w:eastAsia="黑体" w:cs="Times New Roman"/>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"_Toc25873" </w:instrText>
          </w:r>
          <w:r>
            <w:rPr>
              <w:rFonts w:hint="default" w:ascii="Times New Roman" w:hAnsi="Times New Roman" w:cs="Times New Roman"/>
              <w:highlight w:val="none"/>
            </w:rPr>
            <w:fldChar w:fldCharType="separate"/>
          </w:r>
          <w:r>
            <w:rPr>
              <w:rFonts w:hint="default" w:ascii="Times New Roman" w:hAnsi="Times New Roman" w:eastAsia="黑体" w:cs="Times New Roman"/>
              <w:szCs w:val="32"/>
              <w:highlight w:val="none"/>
            </w:rPr>
            <w:t>第六章 全面深化改革开放，</w:t>
          </w:r>
          <w:r>
            <w:rPr>
              <w:rFonts w:hint="default" w:ascii="Times New Roman" w:hAnsi="Times New Roman" w:eastAsia="黑体" w:cs="Times New Roman"/>
              <w:szCs w:val="32"/>
              <w:highlight w:val="none"/>
            </w:rPr>
            <w:fldChar w:fldCharType="end"/>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_Toc12458 </w:instrText>
          </w:r>
          <w:r>
            <w:rPr>
              <w:rFonts w:hint="default" w:ascii="Times New Roman" w:hAnsi="Times New Roman" w:cs="Times New Roman"/>
              <w:highlight w:val="none"/>
            </w:rPr>
            <w:fldChar w:fldCharType="separate"/>
          </w:r>
          <w:r>
            <w:rPr>
              <w:rFonts w:hint="default" w:ascii="Times New Roman" w:hAnsi="Times New Roman" w:eastAsia="黑体" w:cs="Times New Roman"/>
              <w:szCs w:val="32"/>
              <w:highlight w:val="none"/>
            </w:rPr>
            <w:t>增强市场主体活力和发展内生</w:t>
          </w:r>
        </w:p>
        <w:p w14:paraId="44CB8F8C">
          <w:pPr>
            <w:pStyle w:val="19"/>
            <w:tabs>
              <w:tab w:val="right" w:leader="dot" w:pos="8306"/>
            </w:tabs>
            <w:ind w:firstLine="0" w:firstLineChars="0"/>
            <w:jc w:val="distribute"/>
            <w:rPr>
              <w:rFonts w:hint="default" w:ascii="Times New Roman" w:hAnsi="Times New Roman" w:cs="Times New Roman"/>
              <w:highlight w:val="none"/>
            </w:rPr>
          </w:pPr>
          <w:r>
            <w:rPr>
              <w:rFonts w:hint="default" w:ascii="Times New Roman" w:hAnsi="Times New Roman" w:eastAsia="黑体" w:cs="Times New Roman"/>
              <w:szCs w:val="32"/>
              <w:highlight w:val="none"/>
            </w:rPr>
            <w:t>动力</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_Toc12458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45</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504ECB38">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"_Toc27199"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第一节 深化重点领域改革</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_Toc27199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45</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79D7099E">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"_Toc8013"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第二节 全力优化营商环境</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_Toc8013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46</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4998F047">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"_Toc30189"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第三节 激发民营经济活力</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_Toc30189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48</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0B46B3A1">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"_Toc32548"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第四节 积极扩大有效投资</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_Toc32548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48</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3265E72E">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"_Toc12527"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第五节 加快消费扩量提质</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_Toc12527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49</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0A629253">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"_Toc5421"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第六节 推进高水平对外开放</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_Toc5421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49</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02943FFD">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"_Toc5568"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第七节 推进区域协同发展</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_Toc5568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50</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0C678B7B">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"_Toc32144" </w:instrText>
          </w:r>
          <w:r>
            <w:rPr>
              <w:rFonts w:hint="default" w:ascii="Times New Roman" w:hAnsi="Times New Roman" w:cs="Times New Roman"/>
              <w:highlight w:val="none"/>
            </w:rPr>
            <w:fldChar w:fldCharType="separate"/>
          </w:r>
          <w:r>
            <w:rPr>
              <w:rFonts w:hint="default" w:ascii="Times New Roman" w:hAnsi="Times New Roman" w:eastAsia="黑体" w:cs="Times New Roman"/>
              <w:szCs w:val="32"/>
              <w:highlight w:val="none"/>
            </w:rPr>
            <w:t>第七章 加强生态文明建设，筑牢生态安全屏障</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_Toc32144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52</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7B5E947F">
          <w:pPr>
            <w:pStyle w:val="19"/>
            <w:tabs>
              <w:tab w:val="right" w:leader="dot" w:pos="8306"/>
            </w:tabs>
            <w:ind w:firstLine="0" w:firstLineChars="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"_Toc30011"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第一节</w:t>
          </w:r>
          <w:r>
            <w:rPr>
              <w:rFonts w:hint="eastAsia" w:ascii="宋体" w:hAnsi="宋体" w:eastAsia="宋体" w:cs="宋体"/>
              <w:bCs/>
              <w:highlight w:val="none"/>
            </w:rPr>
            <w:t xml:space="preserve"> 持续深化污染防治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_Toc30011 \h </w:instrText>
          </w:r>
          <w:r>
            <w:rPr>
              <w:rFonts w:hint="eastAsia" w:ascii="宋体" w:hAnsi="宋体" w:eastAsia="宋体" w:cs="宋体"/>
              <w:highlight w:val="none"/>
            </w:rPr>
            <w:fldChar w:fldCharType="separate"/>
          </w:r>
          <w:r>
            <w:rPr>
              <w:rFonts w:hint="eastAsia" w:ascii="宋体" w:hAnsi="宋体" w:eastAsia="宋体" w:cs="宋体"/>
              <w:highlight w:val="none"/>
            </w:rPr>
            <w:t>52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FA5C69C">
          <w:pPr>
            <w:pStyle w:val="19"/>
            <w:tabs>
              <w:tab w:val="right" w:leader="dot" w:pos="8306"/>
            </w:tabs>
            <w:ind w:firstLine="0" w:firstLineChars="0"/>
            <w:rPr>
              <w:rFonts w:hint="eastAsia" w:ascii="宋体" w:hAnsi="宋体" w:eastAsia="宋体" w:cs="宋体"/>
              <w:highlight w:val="none"/>
            </w:rPr>
            <w:sectPr>
              <w:footerReference r:id="rId13" w:type="default"/>
              <w:pgSz w:w="11906" w:h="16838"/>
              <w:pgMar w:top="1440" w:right="1800" w:bottom="1440" w:left="1800" w:header="1020" w:footer="1247" w:gutter="0"/>
              <w:cols w:space="425" w:num="1"/>
              <w:docGrid w:type="lines" w:linePitch="435" w:charSpace="0"/>
            </w:sectPr>
          </w:pPr>
        </w:p>
        <w:p w14:paraId="7673C06A">
          <w:pPr>
            <w:pStyle w:val="19"/>
            <w:tabs>
              <w:tab w:val="right" w:leader="dot" w:pos="8306"/>
            </w:tabs>
            <w:ind w:firstLine="0" w:firstLineChars="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"_Toc32217"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第二节</w:t>
          </w:r>
          <w:r>
            <w:rPr>
              <w:rFonts w:hint="eastAsia" w:ascii="宋体" w:hAnsi="宋体" w:eastAsia="宋体" w:cs="宋体"/>
              <w:bCs/>
              <w:highlight w:val="none"/>
            </w:rPr>
            <w:t xml:space="preserve"> 统筹推进保护修复</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_Toc32217 \h </w:instrText>
          </w:r>
          <w:r>
            <w:rPr>
              <w:rFonts w:hint="eastAsia" w:ascii="宋体" w:hAnsi="宋体" w:eastAsia="宋体" w:cs="宋体"/>
              <w:highlight w:val="none"/>
            </w:rPr>
            <w:fldChar w:fldCharType="separate"/>
          </w:r>
          <w:r>
            <w:rPr>
              <w:rFonts w:hint="eastAsia" w:ascii="宋体" w:hAnsi="宋体" w:eastAsia="宋体" w:cs="宋体"/>
              <w:highlight w:val="none"/>
            </w:rPr>
            <w:t>53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1A98FFA">
          <w:pPr>
            <w:pStyle w:val="19"/>
            <w:tabs>
              <w:tab w:val="right" w:leader="dot" w:pos="8306"/>
            </w:tabs>
            <w:ind w:firstLine="0" w:firstLineChars="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"_Toc24141"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 xml:space="preserve">第三节 </w:t>
          </w:r>
          <w:r>
            <w:rPr>
              <w:rFonts w:hint="eastAsia" w:ascii="宋体" w:hAnsi="宋体" w:eastAsia="宋体" w:cs="宋体"/>
              <w:bCs/>
              <w:highlight w:val="none"/>
            </w:rPr>
            <w:t>推动资源高效利用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_Toc24141 \h </w:instrText>
          </w:r>
          <w:r>
            <w:rPr>
              <w:rFonts w:hint="eastAsia" w:ascii="宋体" w:hAnsi="宋体" w:eastAsia="宋体" w:cs="宋体"/>
              <w:highlight w:val="none"/>
            </w:rPr>
            <w:fldChar w:fldCharType="separate"/>
          </w:r>
          <w:r>
            <w:rPr>
              <w:rFonts w:hint="eastAsia" w:ascii="宋体" w:hAnsi="宋体" w:eastAsia="宋体" w:cs="宋体"/>
              <w:highlight w:val="none"/>
            </w:rPr>
            <w:t>55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1055231">
          <w:pPr>
            <w:pStyle w:val="19"/>
            <w:tabs>
              <w:tab w:val="right" w:leader="dot" w:pos="8306"/>
            </w:tabs>
            <w:ind w:firstLine="0" w:firstLineChars="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"_Toc12918"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 xml:space="preserve">第四节 </w:t>
          </w:r>
          <w:r>
            <w:rPr>
              <w:rFonts w:hint="eastAsia" w:ascii="宋体" w:hAnsi="宋体" w:eastAsia="宋体" w:cs="宋体"/>
              <w:bCs/>
              <w:highlight w:val="none"/>
            </w:rPr>
            <w:t>大力实施“双碳”行动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_Toc12918 \h </w:instrText>
          </w:r>
          <w:r>
            <w:rPr>
              <w:rFonts w:hint="eastAsia" w:ascii="宋体" w:hAnsi="宋体" w:eastAsia="宋体" w:cs="宋体"/>
              <w:highlight w:val="none"/>
            </w:rPr>
            <w:fldChar w:fldCharType="separate"/>
          </w:r>
          <w:r>
            <w:rPr>
              <w:rFonts w:hint="eastAsia" w:ascii="宋体" w:hAnsi="宋体" w:eastAsia="宋体" w:cs="宋体"/>
              <w:highlight w:val="none"/>
            </w:rPr>
            <w:t>56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42F22F9">
          <w:pPr>
            <w:pStyle w:val="19"/>
            <w:tabs>
              <w:tab w:val="right" w:leader="dot" w:pos="8306"/>
            </w:tabs>
            <w:ind w:firstLine="0" w:firstLineChars="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"_Toc26652"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第五节</w:t>
          </w:r>
          <w:r>
            <w:rPr>
              <w:rFonts w:hint="eastAsia" w:ascii="宋体" w:hAnsi="宋体" w:eastAsia="宋体" w:cs="宋体"/>
              <w:bCs/>
              <w:highlight w:val="none"/>
            </w:rPr>
            <w:t xml:space="preserve"> 完善生态文明建设治理体系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_Toc26652 \h </w:instrText>
          </w:r>
          <w:r>
            <w:rPr>
              <w:rFonts w:hint="eastAsia" w:ascii="宋体" w:hAnsi="宋体" w:eastAsia="宋体" w:cs="宋体"/>
              <w:highlight w:val="none"/>
            </w:rPr>
            <w:fldChar w:fldCharType="separate"/>
          </w:r>
          <w:r>
            <w:rPr>
              <w:rFonts w:hint="eastAsia" w:ascii="宋体" w:hAnsi="宋体" w:eastAsia="宋体" w:cs="宋体"/>
              <w:highlight w:val="none"/>
            </w:rPr>
            <w:t>57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F5DB05A">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"_Toc14520" </w:instrText>
          </w:r>
          <w:r>
            <w:rPr>
              <w:rFonts w:hint="default" w:ascii="Times New Roman" w:hAnsi="Times New Roman" w:cs="Times New Roman"/>
              <w:highlight w:val="none"/>
            </w:rPr>
            <w:fldChar w:fldCharType="separate"/>
          </w:r>
          <w:r>
            <w:rPr>
              <w:rFonts w:hint="default" w:ascii="Times New Roman" w:hAnsi="Times New Roman" w:eastAsia="黑体" w:cs="Times New Roman"/>
              <w:szCs w:val="32"/>
              <w:highlight w:val="none"/>
            </w:rPr>
            <w:t>第八章 坚持城乡统筹发展，持续提升城市功能与品质</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_Toc14520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58</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58435D50">
          <w:pPr>
            <w:pStyle w:val="19"/>
            <w:tabs>
              <w:tab w:val="right" w:leader="dot" w:pos="8306"/>
            </w:tabs>
            <w:ind w:firstLine="0" w:firstLineChars="0"/>
            <w:rPr>
              <w:rFonts w:hint="default" w:ascii="Times New Roman" w:hAnsi="Times New Roman" w:eastAsia="方正楷体_GBK" w:cs="Times New Roman"/>
              <w:bCs/>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"_Toc6767"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第一节 优化国土空间规划</w:t>
          </w:r>
          <w:r>
            <w:rPr>
              <w:rFonts w:hint="default" w:ascii="Times New Roman" w:hAnsi="Times New Roman" w:eastAsia="方正楷体_GBK" w:cs="Times New Roman"/>
              <w:bCs/>
              <w:szCs w:val="32"/>
              <w:highlight w:val="none"/>
            </w:rPr>
            <w:tab/>
          </w:r>
          <w:r>
            <w:rPr>
              <w:rFonts w:hint="default" w:ascii="Times New Roman" w:hAnsi="Times New Roman" w:eastAsia="方正楷体_GBK" w:cs="Times New Roman"/>
              <w:bCs/>
              <w:szCs w:val="32"/>
              <w:highlight w:val="none"/>
            </w:rPr>
            <w:fldChar w:fldCharType="begin"/>
          </w:r>
          <w:r>
            <w:rPr>
              <w:rFonts w:hint="default" w:ascii="Times New Roman" w:hAnsi="Times New Roman" w:eastAsia="方正楷体_GBK" w:cs="Times New Roman"/>
              <w:bCs/>
              <w:szCs w:val="32"/>
              <w:highlight w:val="none"/>
            </w:rPr>
            <w:instrText xml:space="preserve"> PAGEREF _Toc6767 \h </w:instrText>
          </w:r>
          <w:r>
            <w:rPr>
              <w:rFonts w:hint="default" w:ascii="Times New Roman" w:hAnsi="Times New Roman" w:eastAsia="方正楷体_GBK" w:cs="Times New Roman"/>
              <w:bCs/>
              <w:szCs w:val="32"/>
              <w:highlight w:val="none"/>
            </w:rPr>
            <w:fldChar w:fldCharType="separate"/>
          </w:r>
          <w:r>
            <w:rPr>
              <w:rFonts w:hint="default" w:ascii="Times New Roman" w:hAnsi="Times New Roman" w:eastAsia="方正楷体_GBK" w:cs="Times New Roman"/>
              <w:bCs/>
              <w:szCs w:val="32"/>
              <w:highlight w:val="none"/>
            </w:rPr>
            <w:t>58</w:t>
          </w:r>
          <w:r>
            <w:rPr>
              <w:rFonts w:hint="default" w:ascii="Times New Roman" w:hAnsi="Times New Roman" w:eastAsia="方正楷体_GBK" w:cs="Times New Roman"/>
              <w:bCs/>
              <w:szCs w:val="32"/>
              <w:highlight w:val="none"/>
            </w:rPr>
            <w:fldChar w:fldCharType="end"/>
          </w:r>
          <w:r>
            <w:rPr>
              <w:rFonts w:hint="default" w:ascii="Times New Roman" w:hAnsi="Times New Roman" w:eastAsia="方正楷体_GBK" w:cs="Times New Roman"/>
              <w:bCs/>
              <w:szCs w:val="32"/>
              <w:highlight w:val="none"/>
            </w:rPr>
            <w:fldChar w:fldCharType="end"/>
          </w:r>
        </w:p>
        <w:p w14:paraId="2B5FA021">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"_Toc16919" </w:instrText>
          </w:r>
          <w:r>
            <w:rPr>
              <w:rFonts w:hint="default" w:ascii="Times New Roman" w:hAnsi="Times New Roman" w:cs="Times New Roman"/>
              <w:highlight w:val="none"/>
            </w:rPr>
            <w:fldChar w:fldCharType="separate"/>
          </w:r>
          <w:r>
            <w:rPr>
              <w:rFonts w:hint="default" w:ascii="Times New Roman" w:hAnsi="Times New Roman" w:eastAsia="方正楷体_GBK" w:cs="Times New Roman"/>
              <w:bCs/>
              <w:szCs w:val="32"/>
              <w:highlight w:val="none"/>
            </w:rPr>
            <w:t>第二节</w:t>
          </w:r>
          <w:r>
            <w:rPr>
              <w:rFonts w:hint="default" w:ascii="Times New Roman" w:hAnsi="Times New Roman" w:eastAsia="楷体_GB2312" w:cs="Times New Roman"/>
              <w:bCs/>
              <w:highlight w:val="none"/>
            </w:rPr>
            <w:t xml:space="preserve"> </w:t>
          </w:r>
          <w:r>
            <w:rPr>
              <w:rFonts w:hint="default" w:ascii="Times New Roman" w:hAnsi="Times New Roman" w:cs="Times New Roman"/>
              <w:bCs/>
              <w:highlight w:val="none"/>
            </w:rPr>
            <w:t>实施城市更新行动</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_Toc16919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59</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0E8ED235">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"_Toc20068" </w:instrText>
          </w:r>
          <w:r>
            <w:rPr>
              <w:rFonts w:hint="default" w:ascii="Times New Roman" w:hAnsi="Times New Roman" w:cs="Times New Roman"/>
              <w:highlight w:val="none"/>
            </w:rPr>
            <w:fldChar w:fldCharType="separate"/>
          </w:r>
          <w:r>
            <w:rPr>
              <w:rFonts w:hint="default" w:ascii="Times New Roman" w:hAnsi="Times New Roman" w:eastAsia="方正楷体_GBK" w:cs="Times New Roman"/>
              <w:bCs/>
              <w:szCs w:val="32"/>
              <w:highlight w:val="none"/>
            </w:rPr>
            <w:t>第三节</w:t>
          </w:r>
          <w:r>
            <w:rPr>
              <w:rFonts w:hint="default" w:ascii="Times New Roman" w:hAnsi="Times New Roman" w:cs="Times New Roman"/>
              <w:bCs/>
              <w:highlight w:val="none"/>
            </w:rPr>
            <w:t xml:space="preserve"> 推动城市治理智慧化精细化</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_Toc20068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61</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1822E1EB">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"_Toc8865"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第四节 推进宜居宜业和美乡村建设</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_Toc8865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62</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0D41C3B9">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"_Toc29102"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第五节 不断缩小城乡差距</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_Toc29102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63</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2EFE5165">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"_Toc15276" </w:instrText>
          </w:r>
          <w:r>
            <w:rPr>
              <w:rFonts w:hint="default" w:ascii="Times New Roman" w:hAnsi="Times New Roman" w:cs="Times New Roman"/>
              <w:highlight w:val="none"/>
            </w:rPr>
            <w:fldChar w:fldCharType="separate"/>
          </w:r>
          <w:r>
            <w:rPr>
              <w:rFonts w:hint="default" w:ascii="Times New Roman" w:hAnsi="Times New Roman" w:eastAsia="方正楷体_GBK" w:cs="Times New Roman"/>
              <w:bCs/>
              <w:szCs w:val="32"/>
              <w:highlight w:val="none"/>
            </w:rPr>
            <w:t>第</w:t>
          </w:r>
          <w:r>
            <w:rPr>
              <w:rFonts w:hint="default" w:ascii="Times New Roman" w:hAnsi="Times New Roman" w:cs="Times New Roman"/>
              <w:bCs/>
              <w:highlight w:val="none"/>
            </w:rPr>
            <w:t>六</w:t>
          </w:r>
          <w:r>
            <w:rPr>
              <w:rFonts w:hint="default" w:ascii="Times New Roman" w:hAnsi="Times New Roman" w:eastAsia="方正楷体_GBK" w:cs="Times New Roman"/>
              <w:bCs/>
              <w:szCs w:val="32"/>
              <w:highlight w:val="none"/>
            </w:rPr>
            <w:t xml:space="preserve">节 </w:t>
          </w:r>
          <w:r>
            <w:rPr>
              <w:rFonts w:hint="default" w:ascii="Times New Roman" w:hAnsi="Times New Roman" w:cs="Times New Roman"/>
              <w:bCs/>
              <w:highlight w:val="none"/>
            </w:rPr>
            <w:t>深化农村综合改革</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_Toc15276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64</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6D856A94">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"_Toc10484" </w:instrText>
          </w:r>
          <w:r>
            <w:rPr>
              <w:rFonts w:hint="default" w:ascii="Times New Roman" w:hAnsi="Times New Roman" w:cs="Times New Roman"/>
              <w:highlight w:val="none"/>
            </w:rPr>
            <w:fldChar w:fldCharType="separate"/>
          </w:r>
          <w:r>
            <w:rPr>
              <w:rFonts w:hint="default" w:ascii="Times New Roman" w:hAnsi="Times New Roman" w:eastAsia="黑体" w:cs="Times New Roman"/>
              <w:szCs w:val="32"/>
              <w:highlight w:val="none"/>
            </w:rPr>
            <w:t>第九章 坚持以人民为中心，不断增进民生福祉</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_Toc10484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65</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32569645">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"_Toc27971" </w:instrText>
          </w:r>
          <w:r>
            <w:rPr>
              <w:rFonts w:hint="default" w:ascii="Times New Roman" w:hAnsi="Times New Roman" w:cs="Times New Roman"/>
              <w:highlight w:val="none"/>
            </w:rPr>
            <w:fldChar w:fldCharType="separate"/>
          </w:r>
          <w:r>
            <w:rPr>
              <w:rFonts w:hint="default" w:ascii="Times New Roman" w:hAnsi="Times New Roman" w:eastAsia="仿宋" w:cs="Times New Roman"/>
              <w:bCs/>
              <w:szCs w:val="32"/>
              <w:highlight w:val="none"/>
            </w:rPr>
            <w:t>第一节</w:t>
          </w:r>
          <w:r>
            <w:rPr>
              <w:rFonts w:hint="default" w:ascii="Times New Roman" w:hAnsi="Times New Roman" w:eastAsia="方正楷体_GBK" w:cs="Times New Roman"/>
              <w:bCs/>
              <w:szCs w:val="32"/>
              <w:highlight w:val="none"/>
            </w:rPr>
            <w:t xml:space="preserve"> </w:t>
          </w:r>
          <w:r>
            <w:rPr>
              <w:rFonts w:hint="default" w:ascii="Times New Roman" w:hAnsi="Times New Roman" w:cs="Times New Roman"/>
              <w:bCs/>
              <w:highlight w:val="none"/>
            </w:rPr>
            <w:t>促进高质量充分就业</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_Toc27971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65</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3ECF9B20">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"_Toc29200" </w:instrText>
          </w:r>
          <w:r>
            <w:rPr>
              <w:rFonts w:hint="default" w:ascii="Times New Roman" w:hAnsi="Times New Roman" w:cs="Times New Roman"/>
              <w:highlight w:val="none"/>
            </w:rPr>
            <w:fldChar w:fldCharType="separate"/>
          </w:r>
          <w:r>
            <w:rPr>
              <w:rFonts w:hint="default" w:ascii="Times New Roman" w:hAnsi="Times New Roman" w:eastAsia="仿宋" w:cs="Times New Roman"/>
              <w:bCs/>
              <w:szCs w:val="32"/>
              <w:highlight w:val="none"/>
            </w:rPr>
            <w:t>第二节</w:t>
          </w:r>
          <w:r>
            <w:rPr>
              <w:rFonts w:hint="default" w:ascii="Times New Roman" w:hAnsi="Times New Roman" w:cs="Times New Roman"/>
              <w:bCs/>
              <w:highlight w:val="none"/>
            </w:rPr>
            <w:t xml:space="preserve"> 推进城乡居民增收</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_Toc29200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66</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3D7EEE18">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"_Toc19439" </w:instrText>
          </w:r>
          <w:r>
            <w:rPr>
              <w:rFonts w:hint="default" w:ascii="Times New Roman" w:hAnsi="Times New Roman" w:cs="Times New Roman"/>
              <w:highlight w:val="none"/>
            </w:rPr>
            <w:fldChar w:fldCharType="separate"/>
          </w:r>
          <w:r>
            <w:rPr>
              <w:rFonts w:hint="default" w:ascii="Times New Roman" w:hAnsi="Times New Roman" w:eastAsia="仿宋" w:cs="Times New Roman"/>
              <w:bCs/>
              <w:szCs w:val="32"/>
              <w:highlight w:val="none"/>
            </w:rPr>
            <w:t>第三节</w:t>
          </w:r>
          <w:r>
            <w:rPr>
              <w:rFonts w:hint="default" w:ascii="Times New Roman" w:hAnsi="Times New Roman" w:eastAsia="方正楷体_GBK" w:cs="Times New Roman"/>
              <w:bCs/>
              <w:szCs w:val="32"/>
              <w:highlight w:val="none"/>
            </w:rPr>
            <w:t xml:space="preserve"> </w:t>
          </w:r>
          <w:r>
            <w:rPr>
              <w:rFonts w:hint="default" w:ascii="Times New Roman" w:hAnsi="Times New Roman" w:cs="Times New Roman"/>
              <w:bCs/>
              <w:highlight w:val="none"/>
            </w:rPr>
            <w:t>建设教育强区</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_Toc19439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67</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4980F5E5">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"_Toc11568" </w:instrText>
          </w:r>
          <w:r>
            <w:rPr>
              <w:rFonts w:hint="default" w:ascii="Times New Roman" w:hAnsi="Times New Roman" w:cs="Times New Roman"/>
              <w:highlight w:val="none"/>
            </w:rPr>
            <w:fldChar w:fldCharType="separate"/>
          </w:r>
          <w:r>
            <w:rPr>
              <w:rFonts w:hint="default" w:ascii="Times New Roman" w:hAnsi="Times New Roman" w:eastAsia="仿宋" w:cs="Times New Roman"/>
              <w:bCs/>
              <w:szCs w:val="32"/>
              <w:highlight w:val="none"/>
            </w:rPr>
            <w:t>第四节</w:t>
          </w:r>
          <w:r>
            <w:rPr>
              <w:rFonts w:hint="default" w:ascii="Times New Roman" w:hAnsi="Times New Roman" w:eastAsia="方正楷体_GBK" w:cs="Times New Roman"/>
              <w:bCs/>
              <w:szCs w:val="32"/>
              <w:highlight w:val="none"/>
            </w:rPr>
            <w:t xml:space="preserve"> </w:t>
          </w:r>
          <w:r>
            <w:rPr>
              <w:rFonts w:hint="default" w:ascii="Times New Roman" w:hAnsi="Times New Roman" w:cs="Times New Roman"/>
              <w:bCs/>
              <w:highlight w:val="none"/>
            </w:rPr>
            <w:t>做好群众家门口的医疗服务</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_Toc11568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68</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73663099">
          <w:pPr>
            <w:pStyle w:val="19"/>
            <w:tabs>
              <w:tab w:val="right" w:leader="dot" w:pos="8306"/>
            </w:tabs>
            <w:ind w:firstLine="0" w:firstLineChars="0"/>
            <w:rPr>
              <w:rFonts w:hint="default" w:ascii="Times New Roman" w:hAnsi="Times New Roman" w:cs="Times New Roman"/>
              <w:bCs/>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"_Toc1476" </w:instrText>
          </w:r>
          <w:r>
            <w:rPr>
              <w:rFonts w:hint="default" w:ascii="Times New Roman" w:hAnsi="Times New Roman" w:cs="Times New Roman"/>
              <w:highlight w:val="none"/>
            </w:rPr>
            <w:fldChar w:fldCharType="separate"/>
          </w:r>
          <w:r>
            <w:rPr>
              <w:rFonts w:hint="default" w:ascii="Times New Roman" w:hAnsi="Times New Roman" w:eastAsia="仿宋" w:cs="Times New Roman"/>
              <w:bCs/>
              <w:szCs w:val="32"/>
              <w:highlight w:val="none"/>
            </w:rPr>
            <w:t>第五节</w:t>
          </w:r>
          <w:r>
            <w:rPr>
              <w:rFonts w:hint="default" w:ascii="Times New Roman" w:hAnsi="Times New Roman" w:cs="Times New Roman"/>
              <w:bCs/>
              <w:highlight w:val="none"/>
            </w:rPr>
            <w:t xml:space="preserve"> 繁荣发展社会主义文化事业</w:t>
          </w:r>
          <w:r>
            <w:rPr>
              <w:rFonts w:hint="default" w:ascii="Times New Roman" w:hAnsi="Times New Roman" w:cs="Times New Roman"/>
              <w:bCs/>
              <w:highlight w:val="none"/>
            </w:rPr>
            <w:tab/>
          </w:r>
          <w:r>
            <w:rPr>
              <w:rFonts w:hint="default" w:ascii="Times New Roman" w:hAnsi="Times New Roman" w:cs="Times New Roman"/>
              <w:bCs/>
              <w:highlight w:val="none"/>
            </w:rPr>
            <w:fldChar w:fldCharType="begin"/>
          </w:r>
          <w:r>
            <w:rPr>
              <w:rFonts w:hint="default" w:ascii="Times New Roman" w:hAnsi="Times New Roman" w:cs="Times New Roman"/>
              <w:bCs/>
              <w:highlight w:val="none"/>
            </w:rPr>
            <w:instrText xml:space="preserve"> PAGEREF _Toc1476 \h </w:instrText>
          </w:r>
          <w:r>
            <w:rPr>
              <w:rFonts w:hint="default" w:ascii="Times New Roman" w:hAnsi="Times New Roman" w:cs="Times New Roman"/>
              <w:bCs/>
              <w:highlight w:val="none"/>
            </w:rPr>
            <w:fldChar w:fldCharType="separate"/>
          </w:r>
          <w:r>
            <w:rPr>
              <w:rFonts w:hint="default" w:ascii="Times New Roman" w:hAnsi="Times New Roman" w:cs="Times New Roman"/>
              <w:bCs/>
              <w:highlight w:val="none"/>
            </w:rPr>
            <w:t>69</w:t>
          </w:r>
          <w:r>
            <w:rPr>
              <w:rFonts w:hint="default" w:ascii="Times New Roman" w:hAnsi="Times New Roman" w:cs="Times New Roman"/>
              <w:bCs/>
              <w:highlight w:val="none"/>
            </w:rPr>
            <w:fldChar w:fldCharType="end"/>
          </w:r>
          <w:r>
            <w:rPr>
              <w:rFonts w:hint="default" w:ascii="Times New Roman" w:hAnsi="Times New Roman" w:cs="Times New Roman"/>
              <w:bCs/>
              <w:highlight w:val="none"/>
            </w:rPr>
            <w:fldChar w:fldCharType="end"/>
          </w:r>
        </w:p>
        <w:p w14:paraId="326358B1">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"_Toc27697" </w:instrText>
          </w:r>
          <w:r>
            <w:rPr>
              <w:rFonts w:hint="default" w:ascii="Times New Roman" w:hAnsi="Times New Roman" w:cs="Times New Roman"/>
              <w:highlight w:val="none"/>
            </w:rPr>
            <w:fldChar w:fldCharType="separate"/>
          </w:r>
          <w:r>
            <w:rPr>
              <w:rFonts w:hint="default" w:ascii="Times New Roman" w:hAnsi="Times New Roman" w:eastAsia="仿宋" w:cs="Times New Roman"/>
              <w:bCs/>
              <w:szCs w:val="32"/>
              <w:highlight w:val="none"/>
            </w:rPr>
            <w:t>第六节</w:t>
          </w:r>
          <w:r>
            <w:rPr>
              <w:rFonts w:hint="default" w:ascii="Times New Roman" w:hAnsi="Times New Roman" w:cs="Times New Roman"/>
              <w:bCs/>
              <w:highlight w:val="none"/>
            </w:rPr>
            <w:t xml:space="preserve"> 积极发展体育事业</w:t>
          </w:r>
          <w:r>
            <w:rPr>
              <w:rFonts w:hint="default" w:ascii="Times New Roman" w:hAnsi="Times New Roman" w:cs="Times New Roman"/>
              <w:bCs/>
              <w:highlight w:val="none"/>
            </w:rPr>
            <w:tab/>
          </w:r>
          <w:r>
            <w:rPr>
              <w:rFonts w:hint="default" w:ascii="Times New Roman" w:hAnsi="Times New Roman" w:cs="Times New Roman"/>
              <w:bCs/>
              <w:highlight w:val="none"/>
            </w:rPr>
            <w:fldChar w:fldCharType="begin"/>
          </w:r>
          <w:r>
            <w:rPr>
              <w:rFonts w:hint="default" w:ascii="Times New Roman" w:hAnsi="Times New Roman" w:cs="Times New Roman"/>
              <w:bCs/>
              <w:highlight w:val="none"/>
            </w:rPr>
            <w:instrText xml:space="preserve"> PAGEREF _Toc27697 \h </w:instrText>
          </w:r>
          <w:r>
            <w:rPr>
              <w:rFonts w:hint="default" w:ascii="Times New Roman" w:hAnsi="Times New Roman" w:cs="Times New Roman"/>
              <w:bCs/>
              <w:highlight w:val="none"/>
            </w:rPr>
            <w:fldChar w:fldCharType="separate"/>
          </w:r>
          <w:r>
            <w:rPr>
              <w:rFonts w:hint="default" w:ascii="Times New Roman" w:hAnsi="Times New Roman" w:cs="Times New Roman"/>
              <w:bCs/>
              <w:highlight w:val="none"/>
            </w:rPr>
            <w:t>70</w:t>
          </w:r>
          <w:r>
            <w:rPr>
              <w:rFonts w:hint="default" w:ascii="Times New Roman" w:hAnsi="Times New Roman" w:cs="Times New Roman"/>
              <w:bCs/>
              <w:highlight w:val="none"/>
            </w:rPr>
            <w:fldChar w:fldCharType="end"/>
          </w:r>
          <w:r>
            <w:rPr>
              <w:rFonts w:hint="default" w:ascii="Times New Roman" w:hAnsi="Times New Roman" w:cs="Times New Roman"/>
              <w:bCs/>
              <w:highlight w:val="none"/>
            </w:rPr>
            <w:fldChar w:fldCharType="end"/>
          </w:r>
        </w:p>
        <w:p w14:paraId="284E4290">
          <w:pPr>
            <w:pStyle w:val="19"/>
            <w:tabs>
              <w:tab w:val="right" w:leader="dot" w:pos="8306"/>
            </w:tabs>
            <w:ind w:firstLine="0" w:firstLineChars="0"/>
            <w:rPr>
              <w:rFonts w:hint="default" w:ascii="Times New Roman" w:hAnsi="Times New Roman" w:eastAsia="仿宋" w:cs="Times New Roman"/>
              <w:bCs/>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"_Toc30940" </w:instrText>
          </w:r>
          <w:r>
            <w:rPr>
              <w:rFonts w:hint="default" w:ascii="Times New Roman" w:hAnsi="Times New Roman" w:cs="Times New Roman"/>
              <w:highlight w:val="none"/>
            </w:rPr>
            <w:fldChar w:fldCharType="separate"/>
          </w:r>
          <w:r>
            <w:rPr>
              <w:rFonts w:hint="default" w:ascii="Times New Roman" w:hAnsi="Times New Roman" w:eastAsia="仿宋" w:cs="Times New Roman"/>
              <w:bCs/>
              <w:szCs w:val="32"/>
              <w:highlight w:val="none"/>
            </w:rPr>
            <w:t>第七节 促进人口高质量发展</w:t>
          </w:r>
          <w:r>
            <w:rPr>
              <w:rFonts w:hint="default" w:ascii="Times New Roman" w:hAnsi="Times New Roman" w:eastAsia="仿宋" w:cs="Times New Roman"/>
              <w:bCs/>
              <w:szCs w:val="32"/>
              <w:highlight w:val="none"/>
            </w:rPr>
            <w:tab/>
          </w:r>
          <w:r>
            <w:rPr>
              <w:rFonts w:hint="default" w:ascii="Times New Roman" w:hAnsi="Times New Roman" w:eastAsia="仿宋" w:cs="Times New Roman"/>
              <w:bCs/>
              <w:szCs w:val="32"/>
              <w:highlight w:val="none"/>
            </w:rPr>
            <w:fldChar w:fldCharType="begin"/>
          </w:r>
          <w:r>
            <w:rPr>
              <w:rFonts w:hint="default" w:ascii="Times New Roman" w:hAnsi="Times New Roman" w:eastAsia="仿宋" w:cs="Times New Roman"/>
              <w:bCs/>
              <w:szCs w:val="32"/>
              <w:highlight w:val="none"/>
            </w:rPr>
            <w:instrText xml:space="preserve"> PAGEREF _Toc30940 \h </w:instrText>
          </w:r>
          <w:r>
            <w:rPr>
              <w:rFonts w:hint="default" w:ascii="Times New Roman" w:hAnsi="Times New Roman" w:eastAsia="仿宋" w:cs="Times New Roman"/>
              <w:bCs/>
              <w:szCs w:val="32"/>
              <w:highlight w:val="none"/>
            </w:rPr>
            <w:fldChar w:fldCharType="separate"/>
          </w:r>
          <w:r>
            <w:rPr>
              <w:rFonts w:hint="default" w:ascii="Times New Roman" w:hAnsi="Times New Roman" w:eastAsia="仿宋" w:cs="Times New Roman"/>
              <w:bCs/>
              <w:szCs w:val="32"/>
              <w:highlight w:val="none"/>
            </w:rPr>
            <w:t>71</w:t>
          </w:r>
          <w:r>
            <w:rPr>
              <w:rFonts w:hint="default" w:ascii="Times New Roman" w:hAnsi="Times New Roman" w:eastAsia="仿宋" w:cs="Times New Roman"/>
              <w:bCs/>
              <w:szCs w:val="32"/>
              <w:highlight w:val="none"/>
            </w:rPr>
            <w:fldChar w:fldCharType="end"/>
          </w:r>
          <w:r>
            <w:rPr>
              <w:rFonts w:hint="default" w:ascii="Times New Roman" w:hAnsi="Times New Roman" w:eastAsia="仿宋" w:cs="Times New Roman"/>
              <w:bCs/>
              <w:szCs w:val="32"/>
              <w:highlight w:val="none"/>
            </w:rPr>
            <w:fldChar w:fldCharType="end"/>
          </w:r>
        </w:p>
        <w:p w14:paraId="5D5C53FF">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"_Toc8624" </w:instrText>
          </w:r>
          <w:r>
            <w:rPr>
              <w:rFonts w:hint="default" w:ascii="Times New Roman" w:hAnsi="Times New Roman" w:cs="Times New Roman"/>
              <w:highlight w:val="none"/>
            </w:rPr>
            <w:fldChar w:fldCharType="separate"/>
          </w:r>
          <w:r>
            <w:rPr>
              <w:rFonts w:hint="default" w:ascii="Times New Roman" w:hAnsi="Times New Roman" w:eastAsia="仿宋" w:cs="Times New Roman"/>
              <w:bCs/>
              <w:szCs w:val="32"/>
              <w:highlight w:val="none"/>
            </w:rPr>
            <w:t>第八节</w:t>
          </w:r>
          <w:r>
            <w:rPr>
              <w:rFonts w:hint="default" w:ascii="Times New Roman" w:hAnsi="Times New Roman" w:cs="Times New Roman"/>
              <w:bCs/>
              <w:highlight w:val="none"/>
            </w:rPr>
            <w:t xml:space="preserve"> 构建更加完善的社会保障体系</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_Toc8624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72</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3A0F34A1">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"_Toc20136" </w:instrText>
          </w:r>
          <w:r>
            <w:rPr>
              <w:rFonts w:hint="default" w:ascii="Times New Roman" w:hAnsi="Times New Roman" w:cs="Times New Roman"/>
              <w:highlight w:val="none"/>
            </w:rPr>
            <w:fldChar w:fldCharType="separate"/>
          </w:r>
          <w:r>
            <w:rPr>
              <w:rFonts w:hint="default" w:ascii="Times New Roman" w:hAnsi="Times New Roman" w:eastAsia="黑体" w:cs="Times New Roman"/>
              <w:szCs w:val="32"/>
              <w:highlight w:val="none"/>
            </w:rPr>
            <w:t>第十章 统筹发展和安全，筑牢安全稳定屏障</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_Toc20136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73</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7462D9E7">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"_Toc21910" </w:instrText>
          </w:r>
          <w:r>
            <w:rPr>
              <w:rFonts w:hint="default" w:ascii="Times New Roman" w:hAnsi="Times New Roman" w:cs="Times New Roman"/>
              <w:highlight w:val="none"/>
            </w:rPr>
            <w:fldChar w:fldCharType="separate"/>
          </w:r>
          <w:r>
            <w:rPr>
              <w:rFonts w:hint="default" w:ascii="Times New Roman" w:hAnsi="Times New Roman" w:eastAsia="仿宋" w:cs="Times New Roman"/>
              <w:bCs/>
              <w:szCs w:val="32"/>
              <w:highlight w:val="none"/>
            </w:rPr>
            <w:t>第一节</w:t>
          </w:r>
          <w:r>
            <w:rPr>
              <w:rFonts w:hint="default" w:ascii="Times New Roman" w:hAnsi="Times New Roman" w:cs="Times New Roman"/>
              <w:bCs/>
              <w:highlight w:val="none"/>
            </w:rPr>
            <w:t xml:space="preserve"> 全力维护国家政治安全</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_Toc21910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73</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0F4E75D2">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"_Toc19129"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第二节 不断加强民主法治水平</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_Toc19129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73</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37E34598">
          <w:pPr>
            <w:pStyle w:val="19"/>
            <w:tabs>
              <w:tab w:val="right" w:leader="dot" w:pos="8306"/>
            </w:tabs>
            <w:ind w:firstLine="0" w:firstLineChars="0"/>
            <w:rPr>
              <w:rFonts w:hint="default" w:ascii="Times New Roman" w:hAnsi="Times New Roman" w:cs="Times New Roman"/>
              <w:highlight w:val="none"/>
            </w:rPr>
            <w:sectPr>
              <w:footerReference r:id="rId14" w:type="default"/>
              <w:pgSz w:w="11906" w:h="16838"/>
              <w:pgMar w:top="1440" w:right="1800" w:bottom="1440" w:left="1800" w:header="1020" w:footer="1247" w:gutter="0"/>
              <w:cols w:space="425" w:num="1"/>
              <w:docGrid w:type="lines" w:linePitch="435" w:charSpace="0"/>
            </w:sectPr>
          </w:pPr>
        </w:p>
        <w:p w14:paraId="500AB95A">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"_Toc29496"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第三节 强化重点领域风险防范</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_Toc29496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74</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46759726">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"_Toc12533"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第四节 大力提升基层治理效能</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_Toc12533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75</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28346466">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"_Toc9535" </w:instrText>
          </w:r>
          <w:r>
            <w:rPr>
              <w:rFonts w:hint="default" w:ascii="Times New Roman" w:hAnsi="Times New Roman" w:cs="Times New Roman"/>
              <w:highlight w:val="none"/>
            </w:rPr>
            <w:fldChar w:fldCharType="separate"/>
          </w:r>
          <w:r>
            <w:rPr>
              <w:rFonts w:hint="default" w:ascii="Times New Roman" w:hAnsi="Times New Roman" w:eastAsia="黑体" w:cs="Times New Roman"/>
              <w:szCs w:val="32"/>
              <w:highlight w:val="none"/>
            </w:rPr>
            <w:t>第十一章 健全实施机制，保障规划顺利实施</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_Toc9535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76</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7CFC5D7D">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"_Toc1620"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第一节 健全党的领导工作机制</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_Toc1620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76</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789B8CB4">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"_Toc5611"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第二节 全面加强干部队伍和基层党组织建设</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_Toc5611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76</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0271BED2">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"_Toc18580"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第三节 持续涵养风清气正政治生态</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_Toc18580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77</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60B22147">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"_Toc24187"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第四节 健全规划落实机制</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_Toc24187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78</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2CB39A55">
          <w:pPr>
            <w:pStyle w:val="19"/>
            <w:tabs>
              <w:tab w:val="right" w:leader="dot" w:pos="8306"/>
            </w:tabs>
            <w:ind w:firstLine="0" w:firstLineChars="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"_Toc23692" </w:instrText>
          </w:r>
          <w:r>
            <w:rPr>
              <w:rFonts w:hint="default" w:ascii="Times New Roman" w:hAnsi="Times New Roman" w:cs="Times New Roman"/>
              <w:highlight w:val="none"/>
            </w:rPr>
            <w:fldChar w:fldCharType="separate"/>
          </w:r>
          <w:r>
            <w:rPr>
              <w:rFonts w:hint="default" w:ascii="Times New Roman" w:hAnsi="Times New Roman" w:cs="Times New Roman"/>
              <w:bCs/>
              <w:highlight w:val="none"/>
            </w:rPr>
            <w:t>第五节 强化规划项目支撑</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_Toc23692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78</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01346AD3">
          <w:pPr>
            <w:pStyle w:val="12"/>
            <w:ind w:firstLine="620"/>
            <w:rPr>
              <w:rFonts w:hint="default" w:ascii="Times New Roman" w:hAnsi="Times New Roman" w:cs="Times New Roman"/>
              <w:highlight w:val="none"/>
            </w:rPr>
          </w:pPr>
          <w:r>
            <w:rPr>
              <w:rFonts w:hint="default" w:ascii="Times New Roman" w:hAnsi="Times New Roman" w:cs="Times New Roman"/>
              <w:highlight w:val="none"/>
            </w:rPr>
            <w:fldChar w:fldCharType="end"/>
          </w:r>
        </w:p>
      </w:sdtContent>
    </w:sdt>
    <w:p w14:paraId="52F2E01E">
      <w:pPr>
        <w:pStyle w:val="12"/>
        <w:ind w:firstLine="620"/>
        <w:rPr>
          <w:rFonts w:hint="default" w:ascii="Times New Roman" w:hAnsi="Times New Roman" w:cs="Times New Roman"/>
          <w:highlight w:val="none"/>
        </w:rPr>
      </w:pPr>
    </w:p>
    <w:p w14:paraId="4A8CB2F8">
      <w:pPr>
        <w:spacing w:line="560" w:lineRule="exact"/>
        <w:ind w:firstLine="0" w:firstLineChars="0"/>
        <w:jc w:val="center"/>
        <w:rPr>
          <w:rFonts w:hint="default" w:ascii="Times New Roman" w:hAnsi="Times New Roman" w:cs="Times New Roman"/>
          <w:b/>
          <w:bCs/>
          <w:color w:val="000000" w:themeColor="text1"/>
          <w:szCs w:val="32"/>
          <w:highlight w:val="none"/>
          <w14:textFill>
            <w14:solidFill>
              <w14:schemeClr w14:val="tx1"/>
            </w14:solidFill>
          </w14:textFill>
        </w:rPr>
      </w:pPr>
    </w:p>
    <w:p w14:paraId="12BAB1C2">
      <w:pPr>
        <w:spacing w:line="560" w:lineRule="exact"/>
        <w:ind w:firstLine="0" w:firstLineChars="0"/>
        <w:jc w:val="center"/>
        <w:rPr>
          <w:rFonts w:hint="default" w:ascii="Times New Roman" w:hAnsi="Times New Roman" w:cs="Times New Roman"/>
          <w:b/>
          <w:bCs/>
          <w:color w:val="000000" w:themeColor="text1"/>
          <w:szCs w:val="32"/>
          <w:highlight w:val="none"/>
          <w14:textFill>
            <w14:solidFill>
              <w14:schemeClr w14:val="tx1"/>
            </w14:solidFill>
          </w14:textFill>
        </w:rPr>
      </w:pPr>
    </w:p>
    <w:p w14:paraId="1F4214E7">
      <w:pPr>
        <w:spacing w:line="560" w:lineRule="exact"/>
        <w:ind w:firstLine="0" w:firstLineChars="0"/>
        <w:jc w:val="center"/>
        <w:rPr>
          <w:rFonts w:hint="default" w:ascii="Times New Roman" w:hAnsi="Times New Roman" w:cs="Times New Roman"/>
          <w:b/>
          <w:bCs/>
          <w:color w:val="000000" w:themeColor="text1"/>
          <w:szCs w:val="32"/>
          <w:highlight w:val="none"/>
          <w14:textFill>
            <w14:solidFill>
              <w14:schemeClr w14:val="tx1"/>
            </w14:solidFill>
          </w14:textFill>
        </w:rPr>
      </w:pPr>
    </w:p>
    <w:p w14:paraId="4528A8F3">
      <w:pPr>
        <w:spacing w:line="560" w:lineRule="exact"/>
        <w:ind w:firstLine="0" w:firstLineChars="0"/>
        <w:jc w:val="center"/>
        <w:rPr>
          <w:rFonts w:hint="default" w:ascii="Times New Roman" w:hAnsi="Times New Roman" w:cs="Times New Roman"/>
          <w:b/>
          <w:bCs/>
          <w:color w:val="000000" w:themeColor="text1"/>
          <w:szCs w:val="32"/>
          <w:highlight w:val="none"/>
          <w14:textFill>
            <w14:solidFill>
              <w14:schemeClr w14:val="tx1"/>
            </w14:solidFill>
          </w14:textFill>
        </w:rPr>
      </w:pPr>
    </w:p>
    <w:p w14:paraId="43E6539C">
      <w:pPr>
        <w:spacing w:line="560" w:lineRule="exact"/>
        <w:ind w:firstLine="0" w:firstLineChars="0"/>
        <w:jc w:val="center"/>
        <w:rPr>
          <w:rFonts w:hint="default" w:ascii="Times New Roman" w:hAnsi="Times New Roman" w:cs="Times New Roman"/>
          <w:b/>
          <w:bCs/>
          <w:color w:val="000000" w:themeColor="text1"/>
          <w:szCs w:val="32"/>
          <w:highlight w:val="none"/>
          <w14:textFill>
            <w14:solidFill>
              <w14:schemeClr w14:val="tx1"/>
            </w14:solidFill>
          </w14:textFill>
        </w:rPr>
      </w:pPr>
    </w:p>
    <w:p w14:paraId="76225FA2">
      <w:pPr>
        <w:spacing w:line="560" w:lineRule="exact"/>
        <w:ind w:firstLine="0" w:firstLineChars="0"/>
        <w:jc w:val="center"/>
        <w:rPr>
          <w:rFonts w:hint="default" w:ascii="Times New Roman" w:hAnsi="Times New Roman" w:cs="Times New Roman"/>
          <w:b/>
          <w:bCs/>
          <w:color w:val="000000" w:themeColor="text1"/>
          <w:szCs w:val="32"/>
          <w:highlight w:val="none"/>
          <w14:textFill>
            <w14:solidFill>
              <w14:schemeClr w14:val="tx1"/>
            </w14:solidFill>
          </w14:textFill>
        </w:rPr>
      </w:pPr>
    </w:p>
    <w:p w14:paraId="1FBBD37F">
      <w:pPr>
        <w:spacing w:line="560" w:lineRule="exact"/>
        <w:ind w:firstLine="0" w:firstLineChars="0"/>
        <w:jc w:val="center"/>
        <w:rPr>
          <w:rFonts w:hint="default" w:ascii="Times New Roman" w:hAnsi="Times New Roman" w:cs="Times New Roman"/>
          <w:b/>
          <w:bCs/>
          <w:color w:val="000000" w:themeColor="text1"/>
          <w:szCs w:val="32"/>
          <w:highlight w:val="none"/>
          <w14:textFill>
            <w14:solidFill>
              <w14:schemeClr w14:val="tx1"/>
            </w14:solidFill>
          </w14:textFill>
        </w:rPr>
      </w:pPr>
    </w:p>
    <w:p w14:paraId="03AD7C8B">
      <w:pPr>
        <w:spacing w:line="560" w:lineRule="exact"/>
        <w:ind w:firstLine="0" w:firstLineChars="0"/>
        <w:jc w:val="center"/>
        <w:rPr>
          <w:rFonts w:hint="default" w:ascii="Times New Roman" w:hAnsi="Times New Roman" w:cs="Times New Roman"/>
          <w:b/>
          <w:bCs/>
          <w:color w:val="000000" w:themeColor="text1"/>
          <w:szCs w:val="32"/>
          <w:highlight w:val="none"/>
          <w14:textFill>
            <w14:solidFill>
              <w14:schemeClr w14:val="tx1"/>
            </w14:solidFill>
          </w14:textFill>
        </w:rPr>
      </w:pPr>
    </w:p>
    <w:p w14:paraId="318F85F6">
      <w:pPr>
        <w:spacing w:line="560" w:lineRule="exact"/>
        <w:ind w:firstLine="0" w:firstLineChars="0"/>
        <w:jc w:val="center"/>
        <w:rPr>
          <w:rFonts w:hint="default" w:ascii="Times New Roman" w:hAnsi="Times New Roman" w:cs="Times New Roman"/>
          <w:b/>
          <w:bCs/>
          <w:color w:val="000000" w:themeColor="text1"/>
          <w:szCs w:val="32"/>
          <w:highlight w:val="none"/>
          <w14:textFill>
            <w14:solidFill>
              <w14:schemeClr w14:val="tx1"/>
            </w14:solidFill>
          </w14:textFill>
        </w:rPr>
      </w:pPr>
    </w:p>
    <w:p w14:paraId="6A130150">
      <w:pPr>
        <w:spacing w:line="560" w:lineRule="exact"/>
        <w:ind w:firstLine="0" w:firstLineChars="0"/>
        <w:jc w:val="center"/>
        <w:rPr>
          <w:rFonts w:hint="default" w:ascii="Times New Roman" w:hAnsi="Times New Roman" w:cs="Times New Roman"/>
          <w:b/>
          <w:bCs/>
          <w:color w:val="000000" w:themeColor="text1"/>
          <w:szCs w:val="32"/>
          <w:highlight w:val="none"/>
          <w14:textFill>
            <w14:solidFill>
              <w14:schemeClr w14:val="tx1"/>
            </w14:solidFill>
          </w14:textFill>
        </w:rPr>
      </w:pPr>
    </w:p>
    <w:p w14:paraId="762636D2">
      <w:pPr>
        <w:spacing w:line="560" w:lineRule="exact"/>
        <w:ind w:firstLine="0" w:firstLineChars="0"/>
        <w:jc w:val="center"/>
        <w:rPr>
          <w:rFonts w:hint="default" w:ascii="Times New Roman" w:hAnsi="Times New Roman" w:cs="Times New Roman"/>
          <w:b/>
          <w:bCs/>
          <w:color w:val="000000" w:themeColor="text1"/>
          <w:szCs w:val="32"/>
          <w:highlight w:val="none"/>
          <w14:textFill>
            <w14:solidFill>
              <w14:schemeClr w14:val="tx1"/>
            </w14:solidFill>
          </w14:textFill>
        </w:rPr>
      </w:pPr>
    </w:p>
    <w:p w14:paraId="3312118C">
      <w:pPr>
        <w:spacing w:line="560" w:lineRule="exact"/>
        <w:ind w:firstLine="0" w:firstLineChars="0"/>
        <w:jc w:val="center"/>
        <w:rPr>
          <w:rFonts w:hint="default" w:ascii="Times New Roman" w:hAnsi="Times New Roman" w:cs="Times New Roman"/>
          <w:b/>
          <w:bCs/>
          <w:color w:val="000000" w:themeColor="text1"/>
          <w:szCs w:val="32"/>
          <w:highlight w:val="none"/>
          <w14:textFill>
            <w14:solidFill>
              <w14:schemeClr w14:val="tx1"/>
            </w14:solidFill>
          </w14:textFill>
        </w:rPr>
      </w:pPr>
    </w:p>
    <w:p w14:paraId="5737FA0E">
      <w:pPr>
        <w:spacing w:line="560" w:lineRule="exact"/>
        <w:ind w:firstLine="0" w:firstLineChars="0"/>
        <w:jc w:val="center"/>
        <w:rPr>
          <w:rFonts w:hint="default" w:ascii="Times New Roman" w:hAnsi="Times New Roman" w:cs="Times New Roman"/>
          <w:b/>
          <w:bCs/>
          <w:color w:val="000000" w:themeColor="text1"/>
          <w:szCs w:val="32"/>
          <w:highlight w:val="none"/>
          <w14:textFill>
            <w14:solidFill>
              <w14:schemeClr w14:val="tx1"/>
            </w14:solidFill>
          </w14:textFill>
        </w:rPr>
      </w:pPr>
    </w:p>
    <w:p w14:paraId="58B0D31B">
      <w:pPr>
        <w:pStyle w:val="36"/>
        <w:numPr>
          <w:ilvl w:val="0"/>
          <w:numId w:val="0"/>
        </w:numPr>
        <w:spacing w:before="435" w:after="435" w:line="560" w:lineRule="exact"/>
        <w:jc w:val="both"/>
        <w:rPr>
          <w:rFonts w:hint="default" w:ascii="Times New Roman" w:hAnsi="Times New Roman" w:eastAsia="黑体" w:cs="Times New Roman"/>
          <w:color w:val="000000" w:themeColor="text1"/>
          <w:sz w:val="32"/>
          <w:szCs w:val="32"/>
          <w:highlight w:val="none"/>
          <w14:textFill>
            <w14:solidFill>
              <w14:schemeClr w14:val="tx1"/>
            </w14:solidFill>
          </w14:textFill>
        </w:rPr>
        <w:sectPr>
          <w:footerReference r:id="rId15" w:type="default"/>
          <w:pgSz w:w="11906" w:h="16838"/>
          <w:pgMar w:top="1440" w:right="1800" w:bottom="1440" w:left="1800" w:header="1020" w:footer="1247" w:gutter="0"/>
          <w:cols w:space="425" w:num="1"/>
          <w:docGrid w:type="lines" w:linePitch="435" w:charSpace="0"/>
        </w:sectPr>
      </w:pPr>
      <w:bookmarkStart w:id="0" w:name="_Toc45"/>
    </w:p>
    <w:p w14:paraId="7D8DD891">
      <w:pPr>
        <w:ind w:firstLine="640"/>
        <w:rPr>
          <w:rFonts w:hint="default" w:ascii="Times New Roman" w:hAnsi="Times New Roman" w:cs="Times New Roman"/>
          <w:highlight w:val="none"/>
        </w:rPr>
      </w:pPr>
    </w:p>
    <w:p w14:paraId="45BA276A">
      <w:pPr>
        <w:pStyle w:val="36"/>
        <w:numPr>
          <w:ilvl w:val="0"/>
          <w:numId w:val="0"/>
        </w:numPr>
        <w:spacing w:before="435" w:after="435" w:line="560" w:lineRule="exact"/>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前  言</w:t>
      </w:r>
      <w:bookmarkEnd w:id="0"/>
    </w:p>
    <w:p w14:paraId="1186E75A">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“十五五”时期是我国承上启下、</w:t>
      </w:r>
      <w:r>
        <w:rPr>
          <w:rFonts w:hint="eastAsia" w:cs="Times New Roman"/>
          <w:color w:val="000000" w:themeColor="text1"/>
          <w:szCs w:val="32"/>
          <w:highlight w:val="none"/>
          <w:lang w:eastAsia="zh-CN"/>
          <w14:textFill>
            <w14:solidFill>
              <w14:schemeClr w14:val="tx1"/>
            </w14:solidFill>
          </w14:textFill>
        </w:rPr>
        <w:t>为基本实现社会主义现代化</w:t>
      </w:r>
      <w:r>
        <w:rPr>
          <w:rFonts w:hint="default" w:ascii="Times New Roman" w:hAnsi="Times New Roman" w:cs="Times New Roman"/>
          <w:color w:val="000000" w:themeColor="text1"/>
          <w:szCs w:val="32"/>
          <w:highlight w:val="none"/>
          <w14:textFill>
            <w14:solidFill>
              <w14:schemeClr w14:val="tx1"/>
            </w14:solidFill>
          </w14:textFill>
        </w:rPr>
        <w:t>夯实基础、全面发力的关键时期，也是东河区充分激发内生动力与潜在优势、全面提升发展质量与效益的攻坚期。东河区深入贯彻习近平总书记对内蒙古系列重要讲话重要指示精神，全面落实党中央、国务院各项决策部署</w:t>
      </w:r>
      <w:r>
        <w:rPr>
          <w:rFonts w:hint="default" w:ascii="Times New Roman" w:hAnsi="Times New Roman" w:cs="Times New Roman"/>
          <w:szCs w:val="32"/>
          <w:highlight w:val="none"/>
        </w:rPr>
        <w:t>和自治区、包头市工作要求，准确把握地区发展的阶段性特征，根据《中共东河区委员会关于制定国民经济和社会发展第十五个五年规划的建议》，编制《东河区国民经济和社会发展第十五个五年规划纲要》，奋力书写中国式现代</w:t>
      </w:r>
      <w:r>
        <w:rPr>
          <w:rFonts w:hint="default" w:ascii="Times New Roman" w:hAnsi="Times New Roman" w:cs="Times New Roman"/>
          <w:color w:val="000000" w:themeColor="text1"/>
          <w:szCs w:val="32"/>
          <w:highlight w:val="none"/>
          <w14:textFill>
            <w14:solidFill>
              <w14:schemeClr w14:val="tx1"/>
            </w14:solidFill>
          </w14:textFill>
        </w:rPr>
        <w:t>化东河新答卷。</w:t>
      </w:r>
    </w:p>
    <w:p w14:paraId="7F661300">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p>
    <w:p w14:paraId="605C32E8">
      <w:pPr>
        <w:pStyle w:val="36"/>
        <w:numPr>
          <w:ilvl w:val="0"/>
          <w:numId w:val="0"/>
        </w:numPr>
        <w:spacing w:before="435" w:after="435" w:line="560" w:lineRule="exact"/>
        <w:rPr>
          <w:rFonts w:hint="default" w:ascii="Times New Roman" w:hAnsi="Times New Roman" w:eastAsia="黑体" w:cs="Times New Roman"/>
          <w:color w:val="000000" w:themeColor="text1"/>
          <w:sz w:val="32"/>
          <w:szCs w:val="32"/>
          <w:highlight w:val="none"/>
          <w14:textFill>
            <w14:solidFill>
              <w14:schemeClr w14:val="tx1"/>
            </w14:solidFill>
          </w14:textFill>
        </w:rPr>
        <w:sectPr>
          <w:footerReference r:id="rId16" w:type="default"/>
          <w:pgSz w:w="11906" w:h="16838"/>
          <w:pgMar w:top="1440" w:right="1800" w:bottom="1440" w:left="1800" w:header="1020" w:footer="1247" w:gutter="0"/>
          <w:cols w:space="425" w:num="1"/>
          <w:docGrid w:type="lines" w:linePitch="435" w:charSpace="0"/>
        </w:sectPr>
      </w:pPr>
      <w:bookmarkStart w:id="1" w:name="_Toc11731"/>
    </w:p>
    <w:p w14:paraId="6CE84869">
      <w:pPr>
        <w:pStyle w:val="36"/>
        <w:keepNext w:val="0"/>
        <w:keepLines w:val="0"/>
        <w:pageBreakBefore w:val="0"/>
        <w:widowControl/>
        <w:numPr>
          <w:ilvl w:val="0"/>
          <w:numId w:val="0"/>
        </w:numPr>
        <w:kinsoku/>
        <w:wordWrap/>
        <w:overflowPunct/>
        <w:topLinePunct w:val="0"/>
        <w:autoSpaceDE/>
        <w:autoSpaceDN/>
        <w:bidi w:val="0"/>
        <w:adjustRightInd/>
        <w:snapToGrid/>
        <w:spacing w:before="435" w:after="435" w:line="560" w:lineRule="exact"/>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第一章 发展环境</w:t>
      </w:r>
      <w:bookmarkEnd w:id="1"/>
    </w:p>
    <w:p w14:paraId="262EDD3B">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2" w:name="_Toc3138"/>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第一节 主要成就</w:t>
      </w:r>
      <w:bookmarkEnd w:id="2"/>
    </w:p>
    <w:p w14:paraId="6EE9E84A">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“十四五”时期是我区发展很不平凡的五年，面对复杂严峻的外部环境和艰巨繁重的发展改革稳定任务，区委、区政府</w:t>
      </w:r>
      <w:r>
        <w:rPr>
          <w:rFonts w:hint="default" w:ascii="Times New Roman" w:hAnsi="Times New Roman" w:cs="Times New Roman"/>
          <w:szCs w:val="32"/>
          <w:highlight w:val="none"/>
        </w:rPr>
        <w:t>团结带领全区人民，以习近平新时代中国特色社会主义思想为指导，以铸牢中华民族共同体意识为工作主线，聚焦总书记赋予内蒙古的“两个屏障”“两个基地”“一个桥头堡”战略定位，全力抓好全方位建设“模范自治区”战略任务的深化落实，迎</w:t>
      </w:r>
      <w:r>
        <w:rPr>
          <w:rFonts w:hint="default" w:ascii="Times New Roman" w:hAnsi="Times New Roman" w:cs="Times New Roman"/>
          <w:color w:val="000000" w:themeColor="text1"/>
          <w:szCs w:val="32"/>
          <w:highlight w:val="none"/>
          <w14:textFill>
            <w14:solidFill>
              <w14:schemeClr w14:val="tx1"/>
            </w14:solidFill>
          </w14:textFill>
        </w:rPr>
        <w:t>难而上、砥砺奋进，推动经济社会各项事业全面发力、多点突破、纵深推进，走出老城区创新发展的新路子，圆满完成了“十四五”目标任务，站在了高质量发展的新起点。</w:t>
      </w:r>
    </w:p>
    <w:p w14:paraId="1E814024">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——综合经济实力跃上新台阶</w:t>
      </w:r>
      <w:r>
        <w:rPr>
          <w:rFonts w:hint="default" w:ascii="Times New Roman" w:hAnsi="Times New Roman" w:cs="Times New Roman"/>
          <w:color w:val="000000" w:themeColor="text1"/>
          <w:szCs w:val="32"/>
          <w:highlight w:val="none"/>
          <w14:textFill>
            <w14:solidFill>
              <w14:schemeClr w14:val="tx1"/>
            </w14:solidFill>
          </w14:textFill>
        </w:rPr>
        <w:t>。经济总量攀升至近500亿元水平，地区生产总值年均增长6.4%，规上工业产值年均增长10.7%，一般公共预算收入年均增长4.6%，社会消费品零售总额年均增长4.4%，城镇居民人均可支配收入和农村居民人均可支配收入年均分别增长4.5%、6.2%，城镇化率达93%以上，综合竞争力跻身中国西部百强区第72位。</w:t>
      </w:r>
    </w:p>
    <w:p w14:paraId="5F867639">
      <w:pPr>
        <w:spacing w:line="560" w:lineRule="exact"/>
        <w:ind w:firstLine="64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——产业转型升级迈出新步伐</w:t>
      </w:r>
      <w:r>
        <w:rPr>
          <w:rFonts w:hint="default" w:ascii="Times New Roman" w:hAnsi="Times New Roman" w:cs="Times New Roman"/>
          <w:b/>
          <w:bCs/>
          <w:color w:val="000000" w:themeColor="text1"/>
          <w:szCs w:val="32"/>
          <w:highlight w:val="none"/>
          <w14:textFill>
            <w14:solidFill>
              <w14:schemeClr w14:val="tx1"/>
            </w14:solidFill>
          </w14:textFill>
        </w:rPr>
        <w:t>。铝产业加速延链补链强链，</w:t>
      </w:r>
      <w:r>
        <w:rPr>
          <w:rFonts w:hint="default" w:ascii="Times New Roman" w:hAnsi="Times New Roman" w:cs="Times New Roman"/>
          <w:color w:val="000000" w:themeColor="text1"/>
          <w:szCs w:val="32"/>
          <w:highlight w:val="none"/>
          <w14:textFill>
            <w14:solidFill>
              <w14:schemeClr w14:val="tx1"/>
            </w14:solidFill>
          </w14:textFill>
        </w:rPr>
        <w:t>相继引进一批产业链关键企业，带动汽车零部件、高纯铝应用、型材板带箔、铝</w:t>
      </w:r>
      <w:r>
        <w:rPr>
          <w:rFonts w:hint="eastAsia" w:ascii="Times New Roman" w:hAnsi="Times New Roman" w:cs="Times New Roman"/>
          <w:color w:val="000000" w:themeColor="text1"/>
          <w:szCs w:val="32"/>
          <w:highlight w:val="none"/>
          <w:lang w:val="en-US" w:eastAsia="zh-CN"/>
          <w14:textFill>
            <w14:solidFill>
              <w14:schemeClr w14:val="tx1"/>
            </w14:solidFill>
          </w14:textFill>
        </w:rPr>
        <w:t>基</w:t>
      </w:r>
      <w:r>
        <w:rPr>
          <w:rFonts w:hint="default" w:ascii="Times New Roman" w:hAnsi="Times New Roman" w:cs="Times New Roman"/>
          <w:color w:val="000000" w:themeColor="text1"/>
          <w:szCs w:val="32"/>
          <w:highlight w:val="none"/>
          <w14:textFill>
            <w14:solidFill>
              <w14:schemeClr w14:val="tx1"/>
            </w14:solidFill>
          </w14:textFill>
        </w:rPr>
        <w:t>新材料等细分领域实现突破，多项产品填补自治区产业空白。截至2025年，全区铝精深加工占</w:t>
      </w:r>
      <w:r>
        <w:rPr>
          <w:rFonts w:hint="eastAsia" w:ascii="Times New Roman" w:hAnsi="Times New Roman" w:cs="Times New Roman"/>
          <w:color w:val="000000" w:themeColor="text1"/>
          <w:szCs w:val="32"/>
          <w:highlight w:val="none"/>
          <w:lang w:val="en-US" w:eastAsia="zh-CN"/>
          <w14:textFill>
            <w14:solidFill>
              <w14:schemeClr w14:val="tx1"/>
            </w14:solidFill>
          </w14:textFill>
        </w:rPr>
        <w:t>铝产业比重</w:t>
      </w:r>
      <w:r>
        <w:rPr>
          <w:rFonts w:hint="default" w:ascii="Times New Roman" w:hAnsi="Times New Roman" w:cs="Times New Roman"/>
          <w:color w:val="000000" w:themeColor="text1"/>
          <w:szCs w:val="32"/>
          <w:highlight w:val="none"/>
          <w14:textFill>
            <w14:solidFill>
              <w14:schemeClr w14:val="tx1"/>
            </w14:solidFill>
          </w14:textFill>
        </w:rPr>
        <w:t>提升至44%，成为全市铝产业发展的主力军，有力支撑包头市打造千亿级铝产业集群，初步建成全国单体规模最大的高纯铝生产基地和西北地区重要的汽车铝轮毂产业基地。铝业园区获评国家绿色工业园区和自治区一类园区。</w:t>
      </w:r>
      <w:r>
        <w:rPr>
          <w:rFonts w:hint="default" w:ascii="Times New Roman" w:hAnsi="Times New Roman" w:cs="Times New Roman"/>
          <w:b/>
          <w:bCs/>
          <w:color w:val="000000" w:themeColor="text1"/>
          <w:szCs w:val="32"/>
          <w:highlight w:val="none"/>
          <w14:textFill>
            <w14:solidFill>
              <w14:schemeClr w14:val="tx1"/>
            </w14:solidFill>
          </w14:textFill>
        </w:rPr>
        <w:t>再生资源利用产业初具规模，</w:t>
      </w:r>
      <w:r>
        <w:rPr>
          <w:rFonts w:hint="default" w:ascii="Times New Roman" w:hAnsi="Times New Roman" w:cs="Times New Roman"/>
          <w:color w:val="000000" w:themeColor="text1"/>
          <w:szCs w:val="32"/>
          <w:highlight w:val="none"/>
          <w14:textFill>
            <w14:solidFill>
              <w14:schemeClr w14:val="tx1"/>
            </w14:solidFill>
          </w14:textFill>
        </w:rPr>
        <w:t>引进华翔、波普等一批再生资源利用项目，废铝、报废汽车拆解、工业固废等产业正在集聚成形。同时，新能源配套产业快速突破，轻工业影响力持续上升，华资2万吨黄原胶项目填补自治区微生物技术领域空白，金鹿油脂等企业荣获“中华老字号”“内蒙古名牌产品”，</w:t>
      </w:r>
      <w:r>
        <w:rPr>
          <w:rFonts w:hint="default" w:ascii="Times New Roman" w:hAnsi="Times New Roman" w:cs="Times New Roman"/>
          <w:color w:val="000000" w:themeColor="text1"/>
          <w:highlight w:val="none"/>
          <w14:textFill>
            <w14:solidFill>
              <w14:schemeClr w14:val="tx1"/>
            </w14:solidFill>
          </w14:textFill>
        </w:rPr>
        <w:t>鹿王羊绒</w:t>
      </w:r>
      <w:r>
        <w:rPr>
          <w:rFonts w:hint="eastAsia" w:cs="Times New Roman"/>
          <w:color w:val="000000" w:themeColor="text1"/>
          <w:highlight w:val="none"/>
          <w:lang w:val="en-US" w:eastAsia="zh-CN"/>
          <w14:textFill>
            <w14:solidFill>
              <w14:schemeClr w14:val="tx1"/>
            </w14:solidFill>
          </w14:textFill>
        </w:rPr>
        <w:t>获评</w:t>
      </w:r>
      <w:r>
        <w:rPr>
          <w:rFonts w:hint="default" w:ascii="Times New Roman" w:hAnsi="Times New Roman" w:cs="Times New Roman"/>
          <w:color w:val="000000" w:themeColor="text1"/>
          <w:highlight w:val="none"/>
          <w14:textFill>
            <w14:solidFill>
              <w14:schemeClr w14:val="tx1"/>
            </w14:solidFill>
          </w14:textFill>
        </w:rPr>
        <w:t>国家级服务型制造示范企业</w:t>
      </w:r>
      <w:r>
        <w:rPr>
          <w:rFonts w:hint="default" w:ascii="Times New Roman" w:hAnsi="Times New Roman" w:cs="Times New Roman"/>
          <w:color w:val="000000" w:themeColor="text1"/>
          <w:szCs w:val="32"/>
          <w:highlight w:val="none"/>
          <w14:textFill>
            <w14:solidFill>
              <w14:schemeClr w14:val="tx1"/>
            </w14:solidFill>
          </w14:textFill>
        </w:rPr>
        <w:t>。</w:t>
      </w:r>
      <w:r>
        <w:rPr>
          <w:rFonts w:hint="default" w:ascii="Times New Roman" w:hAnsi="Times New Roman" w:cs="Times New Roman"/>
          <w:b/>
          <w:bCs/>
          <w:color w:val="000000" w:themeColor="text1"/>
          <w:szCs w:val="32"/>
          <w:highlight w:val="none"/>
          <w14:textFill>
            <w14:solidFill>
              <w14:schemeClr w14:val="tx1"/>
            </w14:solidFill>
          </w14:textFill>
        </w:rPr>
        <w:t>工业绿色化、智能化水平大幅提升</w:t>
      </w:r>
      <w:r>
        <w:rPr>
          <w:rFonts w:hint="default" w:ascii="Times New Roman" w:hAnsi="Times New Roman" w:cs="Times New Roman"/>
          <w:color w:val="000000" w:themeColor="text1"/>
          <w:szCs w:val="32"/>
          <w:highlight w:val="none"/>
          <w14:textFill>
            <w14:solidFill>
              <w14:schemeClr w14:val="tx1"/>
            </w14:solidFill>
          </w14:textFill>
        </w:rPr>
        <w:t>，累计建成国家级绿</w:t>
      </w:r>
      <w:r>
        <w:rPr>
          <w:rFonts w:hint="default" w:ascii="Times New Roman" w:hAnsi="Times New Roman" w:cs="Times New Roman"/>
          <w:szCs w:val="32"/>
          <w:highlight w:val="none"/>
        </w:rPr>
        <w:t>色工厂5家、自治区级绿色工厂8家、绿色</w:t>
      </w:r>
      <w:r>
        <w:rPr>
          <w:rFonts w:hint="eastAsia" w:cs="Times New Roman"/>
          <w:szCs w:val="32"/>
          <w:highlight w:val="none"/>
          <w:lang w:eastAsia="zh-CN"/>
        </w:rPr>
        <w:t>供应链</w:t>
      </w:r>
      <w:r>
        <w:rPr>
          <w:rFonts w:hint="default" w:ascii="Times New Roman" w:hAnsi="Times New Roman" w:cs="Times New Roman"/>
          <w:szCs w:val="32"/>
          <w:highlight w:val="none"/>
        </w:rPr>
        <w:t>企业5家。完成城区</w:t>
      </w:r>
      <w:r>
        <w:rPr>
          <w:rFonts w:hint="default" w:ascii="Times New Roman" w:hAnsi="Times New Roman" w:cs="Times New Roman"/>
          <w:color w:val="000000" w:themeColor="text1"/>
          <w:szCs w:val="32"/>
          <w:highlight w:val="none"/>
          <w14:textFill>
            <w14:solidFill>
              <w14:schemeClr w14:val="tx1"/>
            </w14:solidFill>
          </w14:textFill>
        </w:rPr>
        <w:t>全域小区千兆化、行政村网络全覆盖，5G信号覆盖率及千兆覆盖率达到100%，包铝获评国家卓越级智能工厂、国家级5G工厂。</w:t>
      </w:r>
      <w:r>
        <w:rPr>
          <w:rFonts w:hint="default" w:ascii="Times New Roman" w:hAnsi="Times New Roman" w:cs="Times New Roman"/>
          <w:b/>
          <w:bCs/>
          <w:color w:val="000000" w:themeColor="text1"/>
          <w:szCs w:val="32"/>
          <w:highlight w:val="none"/>
          <w14:textFill>
            <w14:solidFill>
              <w14:schemeClr w14:val="tx1"/>
            </w14:solidFill>
          </w14:textFill>
        </w:rPr>
        <w:t>现代服务业提质扩容增效明显</w:t>
      </w:r>
      <w:r>
        <w:rPr>
          <w:rFonts w:hint="default" w:ascii="Times New Roman" w:hAnsi="Times New Roman" w:cs="Times New Roman"/>
          <w:b/>
          <w:bCs/>
          <w:color w:val="000000" w:themeColor="text1"/>
          <w:szCs w:val="32"/>
          <w:highlight w:val="none"/>
          <w:lang w:bidi="ar"/>
          <w14:textFill>
            <w14:solidFill>
              <w14:schemeClr w14:val="tx1"/>
            </w14:solidFill>
          </w14:textFill>
        </w:rPr>
        <w:t>，</w:t>
      </w:r>
      <w:r>
        <w:rPr>
          <w:rFonts w:hint="default" w:ascii="Times New Roman" w:hAnsi="Times New Roman" w:cs="Times New Roman"/>
          <w:color w:val="000000" w:themeColor="text1"/>
          <w:szCs w:val="32"/>
          <w:highlight w:val="none"/>
          <w:lang w:bidi="ar"/>
          <w14:textFill>
            <w14:solidFill>
              <w14:schemeClr w14:val="tx1"/>
            </w14:solidFill>
          </w14:textFill>
        </w:rPr>
        <w:t>吾悦广场、摩尔城等商业综合体建成运营</w:t>
      </w:r>
      <w:r>
        <w:rPr>
          <w:rFonts w:hint="eastAsia" w:ascii="Times New Roman" w:hAnsi="Times New Roman" w:cs="Times New Roman"/>
          <w:color w:val="000000" w:themeColor="text1"/>
          <w:szCs w:val="32"/>
          <w:highlight w:val="none"/>
          <w:lang w:eastAsia="zh-CN" w:bidi="ar"/>
          <w14:textFill>
            <w14:solidFill>
              <w14:schemeClr w14:val="tx1"/>
            </w14:solidFill>
          </w14:textFill>
        </w:rPr>
        <w:t>，</w:t>
      </w:r>
      <w:r>
        <w:rPr>
          <w:rFonts w:hint="default" w:ascii="Times New Roman" w:hAnsi="Times New Roman" w:cs="Times New Roman"/>
          <w:color w:val="000000" w:themeColor="text1"/>
          <w:szCs w:val="32"/>
          <w:highlight w:val="none"/>
          <w:lang w:bidi="ar"/>
          <w14:textFill>
            <w14:solidFill>
              <w14:schemeClr w14:val="tx1"/>
            </w14:solidFill>
          </w14:textFill>
        </w:rPr>
        <w:t>东百商城等传统商圈商街转型升级。</w:t>
      </w:r>
      <w:r>
        <w:rPr>
          <w:rFonts w:hint="default" w:ascii="Times New Roman" w:hAnsi="Times New Roman" w:cs="Times New Roman"/>
          <w:color w:val="000000" w:themeColor="text1"/>
          <w:szCs w:val="32"/>
          <w:highlight w:val="none"/>
          <w14:textFill>
            <w14:solidFill>
              <w14:schemeClr w14:val="tx1"/>
            </w14:solidFill>
          </w14:textFill>
        </w:rPr>
        <w:t>餐饮</w:t>
      </w:r>
      <w:r>
        <w:rPr>
          <w:rFonts w:hint="default" w:ascii="Times New Roman" w:hAnsi="Times New Roman" w:cs="Times New Roman"/>
          <w:color w:val="000000" w:themeColor="text1"/>
          <w:highlight w:val="none"/>
          <w14:textFill>
            <w14:solidFill>
              <w14:schemeClr w14:val="tx1"/>
            </w14:solidFill>
          </w14:textFill>
        </w:rPr>
        <w:t>住宿业改造提升，</w:t>
      </w:r>
      <w:r>
        <w:rPr>
          <w:rFonts w:hint="default" w:ascii="Times New Roman" w:hAnsi="Times New Roman" w:cs="Times New Roman"/>
          <w:color w:val="000000" w:themeColor="text1"/>
          <w:szCs w:val="32"/>
          <w:highlight w:val="none"/>
          <w14:textFill>
            <w14:solidFill>
              <w14:schemeClr w14:val="tx1"/>
            </w14:solidFill>
          </w14:textFill>
        </w:rPr>
        <w:t>住宿企业</w:t>
      </w:r>
      <w:r>
        <w:rPr>
          <w:rFonts w:hint="default" w:ascii="Times New Roman" w:hAnsi="Times New Roman" w:cs="Times New Roman"/>
          <w:color w:val="000000" w:themeColor="text1"/>
          <w:highlight w:val="none"/>
          <w14:textFill>
            <w14:solidFill>
              <w14:schemeClr w14:val="tx1"/>
            </w14:solidFill>
          </w14:textFill>
        </w:rPr>
        <w:t>规模达到48家，</w:t>
      </w:r>
      <w:r>
        <w:rPr>
          <w:rFonts w:hint="default" w:ascii="Times New Roman" w:hAnsi="Times New Roman" w:cs="Times New Roman"/>
          <w:color w:val="000000" w:themeColor="text1"/>
          <w:szCs w:val="32"/>
          <w:highlight w:val="none"/>
          <w14:textFill>
            <w14:solidFill>
              <w14:schemeClr w14:val="tx1"/>
            </w14:solidFill>
          </w14:textFill>
        </w:rPr>
        <w:t>较“十三五”末增长28%；包头金街完成夜景亮化及场景提升等改造工程，获批国家级旅游休闲街区、自治区非遗特色街区以及万里茶道文化街区品牌，老包头走西口历史文化街区获评国家2A级景区、自治区级旅游休闲街区，全域累计接待游客1629.74万人次，</w:t>
      </w:r>
      <w:r>
        <w:rPr>
          <w:rFonts w:hint="eastAsia" w:ascii="Times New Roman" w:hAnsi="Times New Roman" w:cs="Times New Roman"/>
          <w:color w:val="000000" w:themeColor="text1"/>
          <w:szCs w:val="32"/>
          <w:highlight w:val="none"/>
          <w:lang w:val="en-US" w:eastAsia="zh-CN"/>
          <w14:textFill>
            <w14:solidFill>
              <w14:schemeClr w14:val="tx1"/>
            </w14:solidFill>
          </w14:textFill>
        </w:rPr>
        <w:t>旅游</w:t>
      </w:r>
      <w:r>
        <w:rPr>
          <w:rFonts w:hint="default" w:ascii="Times New Roman" w:hAnsi="Times New Roman" w:cs="Times New Roman"/>
          <w:color w:val="000000" w:themeColor="text1"/>
          <w:szCs w:val="32"/>
          <w:highlight w:val="none"/>
          <w14:textFill>
            <w14:solidFill>
              <w14:schemeClr w14:val="tx1"/>
            </w14:solidFill>
          </w14:textFill>
        </w:rPr>
        <w:t>收入超61亿元。区域</w:t>
      </w:r>
      <w:r>
        <w:rPr>
          <w:rFonts w:hint="default" w:ascii="Times New Roman" w:hAnsi="Times New Roman" w:cs="Times New Roman"/>
          <w:color w:val="000000" w:themeColor="text1"/>
          <w:highlight w:val="none"/>
          <w14:textFill>
            <w14:solidFill>
              <w14:schemeClr w14:val="tx1"/>
            </w14:solidFill>
          </w14:textFill>
        </w:rPr>
        <w:t>物流枢纽综合服务能力显著提升，形成“1+3+5+N”物流布局，全区物流业增加值年均增速6.6%。</w:t>
      </w:r>
      <w:r>
        <w:rPr>
          <w:rFonts w:hint="default" w:ascii="Times New Roman" w:hAnsi="Times New Roman" w:cs="Times New Roman"/>
          <w:b/>
          <w:bCs/>
          <w:color w:val="000000" w:themeColor="text1"/>
          <w:szCs w:val="32"/>
          <w:highlight w:val="none"/>
          <w14:textFill>
            <w14:solidFill>
              <w14:schemeClr w14:val="tx1"/>
            </w14:solidFill>
          </w14:textFill>
        </w:rPr>
        <w:t>农业现代化水平显著提升</w:t>
      </w:r>
      <w:r>
        <w:rPr>
          <w:rFonts w:hint="default" w:ascii="Times New Roman" w:hAnsi="Times New Roman" w:cs="Times New Roman"/>
          <w:color w:val="000000" w:themeColor="text1"/>
          <w:szCs w:val="32"/>
          <w:highlight w:val="none"/>
          <w14:textFill>
            <w14:solidFill>
              <w14:schemeClr w14:val="tx1"/>
            </w14:solidFill>
          </w14:textFill>
        </w:rPr>
        <w:t>，</w:t>
      </w:r>
      <w:bookmarkStart w:id="3" w:name="_Hlk215417575"/>
      <w:r>
        <w:rPr>
          <w:rFonts w:hint="default" w:ascii="Times New Roman" w:hAnsi="Times New Roman" w:cs="Times New Roman"/>
          <w:color w:val="000000" w:themeColor="text1"/>
          <w:highlight w:val="none"/>
          <w14:textFill>
            <w14:solidFill>
              <w14:schemeClr w14:val="tx1"/>
            </w14:solidFill>
          </w14:textFill>
        </w:rPr>
        <w:t>新建和改造老旧温室2.25万亩，设施蔬菜面积突破4万亩，</w:t>
      </w:r>
      <w:bookmarkEnd w:id="3"/>
      <w:r>
        <w:rPr>
          <w:rFonts w:hint="default" w:ascii="Times New Roman" w:hAnsi="Times New Roman" w:cs="Times New Roman"/>
          <w:color w:val="000000" w:themeColor="text1"/>
          <w:szCs w:val="32"/>
          <w:highlight w:val="none"/>
          <w14:textFill>
            <w14:solidFill>
              <w14:schemeClr w14:val="tx1"/>
            </w14:solidFill>
          </w14:textFill>
        </w:rPr>
        <w:t>创建自治区现代农业产业园和设施农业科技转化示范基地，申报绿色食品认证8个、名特优新农产品6个，名特优新农产品和“两品一标”产品达48个。</w:t>
      </w:r>
      <w:r>
        <w:rPr>
          <w:rFonts w:hint="default" w:ascii="Times New Roman" w:hAnsi="Times New Roman" w:cs="Times New Roman"/>
          <w:color w:val="000000" w:themeColor="text1"/>
          <w:highlight w:val="none"/>
          <w14:textFill>
            <w14:solidFill>
              <w14:schemeClr w14:val="tx1"/>
            </w14:solidFill>
          </w14:textFill>
        </w:rPr>
        <w:t>畜牧渔业结构持续优化，产值年均增长5.5%，渔业产值年均增长6%，逐步实现从传统养殖向现代集约化养殖跨越。</w:t>
      </w:r>
    </w:p>
    <w:p w14:paraId="44725E0B">
      <w:pPr>
        <w:spacing w:line="560" w:lineRule="exact"/>
        <w:ind w:firstLine="643"/>
        <w:rPr>
          <w:rFonts w:hint="default" w:ascii="Times New Roman" w:hAnsi="Times New Roman" w:eastAsia="楷体_GB2312" w:cs="Times New Roman"/>
          <w:b/>
          <w:bCs/>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——改革开放创新取得新突破。</w:t>
      </w:r>
      <w:r>
        <w:rPr>
          <w:rFonts w:hint="default" w:ascii="Times New Roman" w:hAnsi="Times New Roman" w:cs="Times New Roman"/>
          <w:b/>
          <w:bCs/>
          <w:color w:val="000000" w:themeColor="text1"/>
          <w:highlight w:val="none"/>
          <w14:textFill>
            <w14:solidFill>
              <w14:schemeClr w14:val="tx1"/>
            </w14:solidFill>
          </w14:textFill>
        </w:rPr>
        <w:t>深化改革纵深推进，</w:t>
      </w:r>
      <w:r>
        <w:rPr>
          <w:rFonts w:hint="default" w:ascii="Times New Roman" w:hAnsi="Times New Roman" w:cs="Times New Roman"/>
          <w:color w:val="000000" w:themeColor="text1"/>
          <w:szCs w:val="32"/>
          <w:highlight w:val="none"/>
          <w14:textFill>
            <w14:solidFill>
              <w14:schemeClr w14:val="tx1"/>
            </w14:solidFill>
          </w14:textFill>
        </w:rPr>
        <w:t>完成国企改革三年行动和南海景区事企分开改革，开展园区“管委会+公司”改革和环卫市场化改革。落实“高效办成一件事”改革，推出“一件事、一次办”集成服务，镇、街道服务中心实现全流程帮办代办，政务服务大厅帮办代办团队荣获“全市先进政务服务帮办代办团队”称号</w:t>
      </w:r>
      <w:r>
        <w:rPr>
          <w:rFonts w:hint="eastAsia" w:ascii="Times New Roman" w:hAnsi="Times New Roman"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东河区政务服务与数据管理局获评自治区级“推进政务服务工作先进集体”。</w:t>
      </w:r>
      <w:r>
        <w:rPr>
          <w:rFonts w:hint="default" w:ascii="Times New Roman" w:hAnsi="Times New Roman" w:cs="Times New Roman"/>
          <w:b/>
          <w:bCs/>
          <w:color w:val="000000" w:themeColor="text1"/>
          <w:highlight w:val="none"/>
          <w14:textFill>
            <w14:solidFill>
              <w14:schemeClr w14:val="tx1"/>
            </w14:solidFill>
          </w14:textFill>
        </w:rPr>
        <w:t>对外开放逐步拓展</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主动融入服务京津冀一体化和呼包鄂乌协同发展等战略，东河机场升级为国际机场，开通蒙古国、东南亚等国际航线，常态化开行中欧班列，实际利用外资</w:t>
      </w:r>
      <w:r>
        <w:rPr>
          <w:rFonts w:hint="default" w:ascii="Times New Roman" w:hAnsi="Times New Roman" w:cs="Times New Roman"/>
          <w:color w:val="000000" w:themeColor="text1"/>
          <w:szCs w:val="32"/>
          <w:highlight w:val="none"/>
          <w:lang w:bidi="ar"/>
          <w14:textFill>
            <w14:solidFill>
              <w14:schemeClr w14:val="tx1"/>
            </w14:solidFill>
          </w14:textFill>
        </w:rPr>
        <w:t>全市第一</w:t>
      </w:r>
      <w:r>
        <w:rPr>
          <w:rFonts w:hint="default" w:ascii="Times New Roman" w:hAnsi="Times New Roman" w:cs="Times New Roman"/>
          <w:color w:val="000000" w:themeColor="text1"/>
          <w:szCs w:val="32"/>
          <w:highlight w:val="none"/>
          <w14:textFill>
            <w14:solidFill>
              <w14:schemeClr w14:val="tx1"/>
            </w14:solidFill>
          </w14:textFill>
        </w:rPr>
        <w:t>。</w:t>
      </w:r>
      <w:r>
        <w:rPr>
          <w:rFonts w:hint="default" w:ascii="Times New Roman" w:hAnsi="Times New Roman" w:cs="Times New Roman"/>
          <w:b/>
          <w:bCs/>
          <w:color w:val="000000" w:themeColor="text1"/>
          <w:szCs w:val="32"/>
          <w:highlight w:val="none"/>
          <w14:textFill>
            <w14:solidFill>
              <w14:schemeClr w14:val="tx1"/>
            </w14:solidFill>
          </w14:textFill>
        </w:rPr>
        <w:t>科技创新深入实施</w:t>
      </w:r>
      <w:r>
        <w:rPr>
          <w:rFonts w:hint="default" w:ascii="Times New Roman" w:hAnsi="Times New Roman" w:cs="Times New Roman"/>
          <w:color w:val="000000" w:themeColor="text1"/>
          <w:szCs w:val="32"/>
          <w:highlight w:val="none"/>
          <w14:textFill>
            <w14:solidFill>
              <w14:schemeClr w14:val="tx1"/>
            </w14:solidFill>
          </w14:textFill>
        </w:rPr>
        <w:t>，研发经费投入年均增长8.57%，技术合同交易登记额年均增长68%，培育科技型中小企业、高新技术企业等各类创新主体95家，成立自治区首个微生物领域院士工作站，申报发明、实用新型专利超30项。</w:t>
      </w:r>
      <w:r>
        <w:rPr>
          <w:rFonts w:hint="default" w:ascii="Times New Roman" w:hAnsi="Times New Roman" w:cs="Times New Roman"/>
          <w:b/>
          <w:bCs/>
          <w:color w:val="000000" w:themeColor="text1"/>
          <w:highlight w:val="none"/>
          <w14:textFill>
            <w14:solidFill>
              <w14:schemeClr w14:val="tx1"/>
            </w14:solidFill>
          </w14:textFill>
        </w:rPr>
        <w:t>人才引育</w:t>
      </w:r>
      <w:r>
        <w:rPr>
          <w:rFonts w:hint="default" w:ascii="Times New Roman" w:hAnsi="Times New Roman" w:cs="Times New Roman"/>
          <w:b/>
          <w:bCs/>
          <w:color w:val="000000" w:themeColor="text1"/>
          <w:szCs w:val="32"/>
          <w:highlight w:val="none"/>
          <w14:textFill>
            <w14:solidFill>
              <w14:schemeClr w14:val="tx1"/>
            </w14:solidFill>
          </w14:textFill>
        </w:rPr>
        <w:t>持续加力</w:t>
      </w:r>
      <w:r>
        <w:rPr>
          <w:rFonts w:hint="default" w:ascii="Times New Roman" w:hAnsi="Times New Roman" w:cs="Times New Roman"/>
          <w:color w:val="000000" w:themeColor="text1"/>
          <w:highlight w:val="none"/>
          <w14:textFill>
            <w14:solidFill>
              <w14:schemeClr w14:val="tx1"/>
            </w14:solidFill>
          </w14:textFill>
        </w:rPr>
        <w:t>，开展事业单位高层次和紧缺急需人才引进工作，引进博士硕士人才41名，引进中国科学院雄安创新研究院、德国国家工程院等专家团队11个；全面升级人才梯队储备，建立东河籍高校毕业生信息库；持续壮大高端人才队伍，21人获评“草原英才”“英才兴蒙”“鹿城英才”。</w:t>
      </w:r>
    </w:p>
    <w:p w14:paraId="728EB711">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——城乡设施建设展现新面貌。</w:t>
      </w:r>
      <w:r>
        <w:rPr>
          <w:rFonts w:hint="default" w:ascii="Times New Roman" w:hAnsi="Times New Roman" w:cs="Times New Roman"/>
          <w:b/>
          <w:bCs/>
          <w:color w:val="000000" w:themeColor="text1"/>
          <w:highlight w:val="none"/>
          <w14:textFill>
            <w14:solidFill>
              <w14:schemeClr w14:val="tx1"/>
            </w14:solidFill>
          </w14:textFill>
        </w:rPr>
        <w:t>城市更新全面推进，</w:t>
      </w:r>
      <w:r>
        <w:rPr>
          <w:rFonts w:hint="default" w:ascii="Times New Roman" w:hAnsi="Times New Roman" w:cs="Times New Roman"/>
          <w:color w:val="000000" w:themeColor="text1"/>
          <w:szCs w:val="32"/>
          <w:highlight w:val="none"/>
          <w14:textFill>
            <w14:solidFill>
              <w14:schemeClr w14:val="tx1"/>
            </w14:solidFill>
          </w14:textFill>
        </w:rPr>
        <w:t>完成2000年以前建成的342个老旧小区改造任务，探索形成全市首个危旧房原拆原建、自主更新改造模式</w:t>
      </w:r>
      <w:r>
        <w:rPr>
          <w:rFonts w:hint="default" w:ascii="Times New Roman" w:hAnsi="Times New Roman" w:cs="Times New Roman"/>
          <w:color w:val="000000" w:themeColor="text1"/>
          <w:kern w:val="0"/>
          <w:szCs w:val="32"/>
          <w:highlight w:val="none"/>
          <w14:textFill>
            <w14:solidFill>
              <w14:schemeClr w14:val="tx1"/>
            </w14:solidFill>
          </w14:textFill>
        </w:rPr>
        <w:t>。</w:t>
      </w:r>
      <w:r>
        <w:rPr>
          <w:rFonts w:hint="default" w:ascii="Times New Roman" w:hAnsi="Times New Roman" w:cs="Times New Roman"/>
          <w:b/>
          <w:bCs/>
          <w:color w:val="000000" w:themeColor="text1"/>
          <w:szCs w:val="32"/>
          <w:highlight w:val="none"/>
          <w14:textFill>
            <w14:solidFill>
              <w14:schemeClr w14:val="tx1"/>
            </w14:solidFill>
          </w14:textFill>
        </w:rPr>
        <w:t>公共设施提档升级，</w:t>
      </w:r>
      <w:r>
        <w:rPr>
          <w:rFonts w:hint="default" w:ascii="Times New Roman" w:hAnsi="Times New Roman" w:cs="Times New Roman"/>
          <w:color w:val="000000" w:themeColor="text1"/>
          <w:kern w:val="0"/>
          <w:szCs w:val="32"/>
          <w:highlight w:val="none"/>
          <w14:textFill>
            <w14:solidFill>
              <w14:schemeClr w14:val="tx1"/>
            </w14:solidFill>
          </w14:textFill>
        </w:rPr>
        <w:t>新建和改造雨水管线超15公里、污水管线近10公里，8条断头路建成通车。升级改造老旧公厕47座，</w:t>
      </w:r>
      <w:r>
        <w:rPr>
          <w:rFonts w:hint="default" w:ascii="Times New Roman" w:hAnsi="Times New Roman" w:cs="Times New Roman"/>
          <w:color w:val="000000" w:themeColor="text1"/>
          <w:szCs w:val="32"/>
          <w:highlight w:val="none"/>
          <w14:textFill>
            <w14:solidFill>
              <w14:schemeClr w14:val="tx1"/>
            </w14:solidFill>
          </w14:textFill>
        </w:rPr>
        <w:t>配建汽车充电桩、电动车充电桩等设施5498处，新建儿童游乐设施5处、口袋公园6处、郊野公园7处，新增绿地1.2万平方米，</w:t>
      </w:r>
      <w:r>
        <w:rPr>
          <w:rFonts w:hint="default" w:ascii="Times New Roman" w:hAnsi="Times New Roman" w:cs="Times New Roman"/>
          <w:color w:val="000000" w:themeColor="text1"/>
          <w:kern w:val="0"/>
          <w:szCs w:val="32"/>
          <w:highlight w:val="none"/>
          <w14:textFill>
            <w14:solidFill>
              <w14:schemeClr w14:val="tx1"/>
            </w14:solidFill>
          </w14:textFill>
        </w:rPr>
        <w:t>城区绿化覆盖率提升至42.6%。</w:t>
      </w:r>
      <w:r>
        <w:rPr>
          <w:rFonts w:hint="default" w:ascii="Times New Roman" w:hAnsi="Times New Roman" w:cs="Times New Roman"/>
          <w:b/>
          <w:bCs/>
          <w:color w:val="000000" w:themeColor="text1"/>
          <w:kern w:val="0"/>
          <w:szCs w:val="32"/>
          <w:highlight w:val="none"/>
          <w14:textFill>
            <w14:solidFill>
              <w14:schemeClr w14:val="tx1"/>
            </w14:solidFill>
          </w14:textFill>
        </w:rPr>
        <w:t>物业</w:t>
      </w:r>
      <w:r>
        <w:rPr>
          <w:rFonts w:hint="default" w:ascii="Times New Roman" w:hAnsi="Times New Roman" w:cs="Times New Roman"/>
          <w:b/>
          <w:bCs/>
          <w:color w:val="000000" w:themeColor="text1"/>
          <w:kern w:val="0"/>
          <w:szCs w:val="32"/>
          <w:highlight w:val="none"/>
          <w:lang w:bidi="ar"/>
          <w14:textFill>
            <w14:solidFill>
              <w14:schemeClr w14:val="tx1"/>
            </w14:solidFill>
          </w14:textFill>
        </w:rPr>
        <w:t>管理水平大幅提升</w:t>
      </w:r>
      <w:r>
        <w:rPr>
          <w:rFonts w:hint="default" w:ascii="Times New Roman" w:hAnsi="Times New Roman" w:cs="Times New Roman"/>
          <w:color w:val="000000" w:themeColor="text1"/>
          <w:kern w:val="0"/>
          <w:szCs w:val="32"/>
          <w:highlight w:val="none"/>
          <w:lang w:bidi="ar"/>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实施物业品质提升三年计划，基础物业、准物业、市场化物业覆盖率提升至97.5%；</w:t>
      </w:r>
      <w:r>
        <w:rPr>
          <w:rFonts w:hint="default" w:ascii="Times New Roman" w:hAnsi="Times New Roman" w:cs="Times New Roman"/>
          <w:color w:val="000000" w:themeColor="text1"/>
          <w:kern w:val="0"/>
          <w:szCs w:val="32"/>
          <w:highlight w:val="none"/>
          <w14:textFill>
            <w14:solidFill>
              <w14:schemeClr w14:val="tx1"/>
            </w14:solidFill>
          </w14:textFill>
        </w:rPr>
        <w:t>持续推进产权</w:t>
      </w:r>
      <w:r>
        <w:rPr>
          <w:rFonts w:hint="eastAsia" w:ascii="Times New Roman" w:hAnsi="Times New Roman" w:cs="Times New Roman"/>
          <w:color w:val="000000" w:themeColor="text1"/>
          <w:kern w:val="0"/>
          <w:szCs w:val="32"/>
          <w:highlight w:val="none"/>
          <w:lang w:val="en-US" w:eastAsia="zh-CN"/>
          <w14:textFill>
            <w14:solidFill>
              <w14:schemeClr w14:val="tx1"/>
            </w14:solidFill>
          </w14:textFill>
        </w:rPr>
        <w:t>遗留问题</w:t>
      </w:r>
      <w:r>
        <w:rPr>
          <w:rFonts w:hint="default" w:ascii="Times New Roman" w:hAnsi="Times New Roman" w:cs="Times New Roman"/>
          <w:color w:val="000000" w:themeColor="text1"/>
          <w:kern w:val="0"/>
          <w:szCs w:val="32"/>
          <w:highlight w:val="none"/>
          <w14:textFill>
            <w14:solidFill>
              <w14:schemeClr w14:val="tx1"/>
            </w14:solidFill>
          </w14:textFill>
        </w:rPr>
        <w:t>集中治理，国有土地住宅类产权遗留问题全部解决</w:t>
      </w:r>
      <w:r>
        <w:rPr>
          <w:rFonts w:hint="default" w:ascii="Times New Roman" w:hAnsi="Times New Roman" w:cs="Times New Roman"/>
          <w:color w:val="000000" w:themeColor="text1"/>
          <w:szCs w:val="32"/>
          <w:highlight w:val="none"/>
          <w14:textFill>
            <w14:solidFill>
              <w14:schemeClr w14:val="tx1"/>
            </w14:solidFill>
          </w14:textFill>
        </w:rPr>
        <w:t>。</w:t>
      </w:r>
      <w:r>
        <w:rPr>
          <w:rFonts w:hint="default" w:ascii="Times New Roman" w:hAnsi="Times New Roman" w:cs="Times New Roman"/>
          <w:b/>
          <w:bCs/>
          <w:color w:val="000000" w:themeColor="text1"/>
          <w:szCs w:val="32"/>
          <w:highlight w:val="none"/>
          <w14:textFill>
            <w14:solidFill>
              <w14:schemeClr w14:val="tx1"/>
            </w14:solidFill>
          </w14:textFill>
        </w:rPr>
        <w:t>农村更加宜居宜业和美，</w:t>
      </w:r>
      <w:r>
        <w:rPr>
          <w:rFonts w:hint="default" w:ascii="Times New Roman" w:hAnsi="Times New Roman" w:cs="Times New Roman"/>
          <w:color w:val="000000" w:themeColor="text1"/>
          <w:szCs w:val="32"/>
          <w:highlight w:val="none"/>
          <w14:textFill>
            <w14:solidFill>
              <w14:schemeClr w14:val="tx1"/>
            </w14:solidFill>
          </w14:textFill>
        </w:rPr>
        <w:t>脱贫攻坚成果持续巩固，脱贫人口和监测对象未发生一例致贫返贫；人居环境持续改善，农村生活垃圾收运实现全覆盖，畜禽粪污资源化利用率提高至90%，农村供水保障体系日趋完善，农村自来水普及率与集中供水率均达到100%；王大汉村、阿都赖村分别获评国家乡村振兴示范村、乡村治理示范村，什大股村入选乡村振兴“全国农村典型案例”，</w:t>
      </w:r>
      <w:r>
        <w:rPr>
          <w:rFonts w:hint="eastAsia" w:ascii="Times New Roman" w:hAnsi="Times New Roman" w:cs="Times New Roman"/>
          <w:color w:val="000000" w:themeColor="text1"/>
          <w:szCs w:val="32"/>
          <w:highlight w:val="none"/>
          <w:lang w:val="en-US" w:eastAsia="zh-CN"/>
          <w14:textFill>
            <w14:solidFill>
              <w14:schemeClr w14:val="tx1"/>
            </w14:solidFill>
          </w14:textFill>
        </w:rPr>
        <w:t>东河村“乡村快板队”活动案例等</w:t>
      </w:r>
      <w:r>
        <w:rPr>
          <w:rFonts w:hint="default" w:ascii="Times New Roman" w:hAnsi="Times New Roman" w:cs="Times New Roman"/>
          <w:color w:val="000000" w:themeColor="text1"/>
          <w:szCs w:val="32"/>
          <w:highlight w:val="none"/>
          <w14:textFill>
            <w14:solidFill>
              <w14:schemeClr w14:val="tx1"/>
            </w14:solidFill>
          </w14:textFill>
        </w:rPr>
        <w:t>4个案例入选自治区</w:t>
      </w:r>
      <w:r>
        <w:rPr>
          <w:rFonts w:hint="eastAsia" w:ascii="Times New Roman" w:hAnsi="Times New Roman" w:cs="Times New Roman"/>
          <w:color w:val="000000" w:themeColor="text1"/>
          <w:szCs w:val="32"/>
          <w:highlight w:val="none"/>
          <w:lang w:val="en-US" w:eastAsia="zh-CN"/>
          <w14:textFill>
            <w14:solidFill>
              <w14:schemeClr w14:val="tx1"/>
            </w14:solidFill>
          </w14:textFill>
        </w:rPr>
        <w:t>农村牧区</w:t>
      </w:r>
      <w:r>
        <w:rPr>
          <w:rFonts w:hint="default" w:ascii="Times New Roman" w:hAnsi="Times New Roman" w:cs="Times New Roman"/>
          <w:color w:val="000000" w:themeColor="text1"/>
          <w:szCs w:val="32"/>
          <w:highlight w:val="none"/>
          <w14:textFill>
            <w14:solidFill>
              <w14:schemeClr w14:val="tx1"/>
            </w14:solidFill>
          </w14:textFill>
        </w:rPr>
        <w:t>移风易俗优秀典型案例。</w:t>
      </w:r>
    </w:p>
    <w:p w14:paraId="6811F6AB">
      <w:pPr>
        <w:spacing w:line="560" w:lineRule="exact"/>
        <w:ind w:firstLine="643"/>
        <w:rPr>
          <w:rFonts w:hint="default" w:ascii="Times New Roman" w:hAnsi="Times New Roman" w:cs="Times New Roman"/>
          <w:color w:val="000000" w:themeColor="text1"/>
          <w:szCs w:val="32"/>
          <w:highlight w:val="none"/>
          <w:lang w:bidi="zh-CN"/>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——生态环境质量发生新变化。</w:t>
      </w:r>
      <w:r>
        <w:rPr>
          <w:rFonts w:hint="default" w:ascii="Times New Roman" w:hAnsi="Times New Roman" w:cs="Times New Roman"/>
          <w:color w:val="000000" w:themeColor="text1"/>
          <w:szCs w:val="32"/>
          <w:highlight w:val="none"/>
          <w14:textFill>
            <w14:solidFill>
              <w14:schemeClr w14:val="tx1"/>
            </w14:solidFill>
          </w14:textFill>
        </w:rPr>
        <w:t>全面完成环保督察反馈问题整改，扎实推进蓝天、碧水、净土保卫战，空气优良天数占比提升至84.3%，磴口和头道拐国考断面水质稳定达到Ⅱ类</w:t>
      </w:r>
      <w:r>
        <w:rPr>
          <w:rFonts w:hint="default" w:ascii="Times New Roman" w:hAnsi="Times New Roman" w:cs="Times New Roman"/>
          <w:color w:val="000000" w:themeColor="text1"/>
          <w:szCs w:val="32"/>
          <w:highlight w:val="none"/>
          <w:lang w:bidi="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饮用水水源地水质达标率为100%，森林覆盖率达到22.34%，远超“十四五”预期目标，获评自治区森林城市荣誉称号。</w:t>
      </w:r>
      <w:r>
        <w:rPr>
          <w:rFonts w:hint="default" w:ascii="Times New Roman" w:hAnsi="Times New Roman" w:cs="Times New Roman"/>
          <w:b/>
          <w:bCs/>
          <w:color w:val="000000" w:themeColor="text1"/>
          <w:szCs w:val="32"/>
          <w:highlight w:val="none"/>
          <w14:textFill>
            <w14:solidFill>
              <w14:schemeClr w14:val="tx1"/>
            </w14:solidFill>
          </w14:textFill>
        </w:rPr>
        <w:t>深入打好污染防治攻坚战</w:t>
      </w:r>
      <w:r>
        <w:rPr>
          <w:rFonts w:hint="default" w:ascii="Times New Roman" w:hAnsi="Times New Roman" w:cs="Times New Roman"/>
          <w:color w:val="000000" w:themeColor="text1"/>
          <w:szCs w:val="32"/>
          <w:highlight w:val="none"/>
          <w14:textFill>
            <w14:solidFill>
              <w14:schemeClr w14:val="tx1"/>
            </w14:solidFill>
          </w14:textFill>
        </w:rPr>
        <w:t>，实施西河下游水生态保护修复和南海湖水体治理与生态修复等重大水环境治理项目，建成东河区建筑垃圾堆填场，大宗工业固废利用率达到91.7%，危险废物处置利用率达到100%。</w:t>
      </w:r>
      <w:r>
        <w:rPr>
          <w:rFonts w:hint="default" w:ascii="Times New Roman" w:hAnsi="Times New Roman" w:cs="Times New Roman"/>
          <w:b/>
          <w:bCs/>
          <w:color w:val="000000" w:themeColor="text1"/>
          <w:szCs w:val="32"/>
          <w:highlight w:val="none"/>
          <w14:textFill>
            <w14:solidFill>
              <w14:schemeClr w14:val="tx1"/>
            </w14:solidFill>
          </w14:textFill>
        </w:rPr>
        <w:t>加强生态保护与修复</w:t>
      </w:r>
      <w:r>
        <w:rPr>
          <w:rFonts w:hint="default" w:ascii="Times New Roman" w:hAnsi="Times New Roman" w:cs="Times New Roman"/>
          <w:color w:val="000000" w:themeColor="text1"/>
          <w:szCs w:val="32"/>
          <w:highlight w:val="none"/>
          <w14:textFill>
            <w14:solidFill>
              <w14:schemeClr w14:val="tx1"/>
            </w14:solidFill>
          </w14:textFill>
        </w:rPr>
        <w:t>，建</w:t>
      </w:r>
      <w:r>
        <w:rPr>
          <w:rFonts w:hint="default" w:ascii="Times New Roman" w:hAnsi="Times New Roman" w:cs="Times New Roman"/>
          <w:color w:val="000000" w:themeColor="text1"/>
          <w:szCs w:val="32"/>
          <w:highlight w:val="none"/>
          <w:lang w:bidi="zh-CN"/>
          <w14:textFill>
            <w14:solidFill>
              <w14:schemeClr w14:val="tx1"/>
            </w14:solidFill>
          </w14:textFill>
        </w:rPr>
        <w:t>成高标准农田2.3万亩，</w:t>
      </w:r>
      <w:r>
        <w:rPr>
          <w:rFonts w:hint="default" w:ascii="Times New Roman" w:hAnsi="Times New Roman" w:cs="Times New Roman"/>
          <w:color w:val="000000" w:themeColor="text1"/>
          <w:highlight w:val="none"/>
          <w:lang w:bidi="zh-CN"/>
          <w14:textFill>
            <w14:solidFill>
              <w14:schemeClr w14:val="tx1"/>
            </w14:solidFill>
          </w14:textFill>
        </w:rPr>
        <w:t>推广加厚高强度地膜8.5万亩、全生物降解地膜2.2万亩，全区地膜回收率为86%。</w:t>
      </w:r>
      <w:r>
        <w:rPr>
          <w:rFonts w:hint="default" w:ascii="Times New Roman" w:hAnsi="Times New Roman" w:cs="Times New Roman"/>
          <w:b/>
          <w:bCs/>
          <w:color w:val="000000" w:themeColor="text1"/>
          <w:szCs w:val="32"/>
          <w:highlight w:val="none"/>
          <w:lang w:bidi="zh-CN"/>
          <w14:textFill>
            <w14:solidFill>
              <w14:schemeClr w14:val="tx1"/>
            </w14:solidFill>
          </w14:textFill>
        </w:rPr>
        <w:t>推进绿色循环低碳发展</w:t>
      </w:r>
      <w:r>
        <w:rPr>
          <w:rFonts w:hint="default" w:ascii="Times New Roman" w:hAnsi="Times New Roman" w:cs="Times New Roman"/>
          <w:color w:val="000000" w:themeColor="text1"/>
          <w:szCs w:val="32"/>
          <w:highlight w:val="none"/>
          <w:lang w:bidi="zh-CN"/>
          <w14:textFill>
            <w14:solidFill>
              <w14:schemeClr w14:val="tx1"/>
            </w14:solidFill>
          </w14:textFill>
        </w:rPr>
        <w:t>，加强工业节水技术改造和循环用水，再生水回用率达到41.11%；完成河东街道垃圾分类示范片区等建设，建成城区厨余垃圾收集转运站和有害垃圾收集暂存站各1座，分类设施覆盖率达100%。</w:t>
      </w:r>
      <w:r>
        <w:rPr>
          <w:rFonts w:hint="default" w:ascii="Times New Roman" w:hAnsi="Times New Roman" w:cs="Times New Roman"/>
          <w:color w:val="000000" w:themeColor="text1"/>
          <w:highlight w:val="none"/>
          <w:lang w:bidi="zh-CN"/>
          <w14:textFill>
            <w14:solidFill>
              <w14:schemeClr w14:val="tx1"/>
            </w14:solidFill>
          </w14:textFill>
        </w:rPr>
        <w:t>将生态环境保护工作履职情况纳入考核体系，压实各部门生态环境保护责任，</w:t>
      </w:r>
      <w:r>
        <w:rPr>
          <w:rFonts w:hint="default" w:ascii="Times New Roman" w:hAnsi="Times New Roman" w:cs="Times New Roman"/>
          <w:color w:val="000000" w:themeColor="text1"/>
          <w:szCs w:val="32"/>
          <w:highlight w:val="none"/>
          <w:lang w:bidi="zh-CN"/>
          <w14:textFill>
            <w14:solidFill>
              <w14:schemeClr w14:val="tx1"/>
            </w14:solidFill>
          </w14:textFill>
        </w:rPr>
        <w:t>形成由空气、水、噪声环境质量监测设施组成的立体式、多元化监测网络。</w:t>
      </w:r>
    </w:p>
    <w:p w14:paraId="1430E2C1">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——人民生活水平实现新提升。</w:t>
      </w:r>
      <w:r>
        <w:rPr>
          <w:rFonts w:hint="default" w:ascii="Times New Roman" w:hAnsi="Times New Roman" w:cs="Times New Roman"/>
          <w:color w:val="000000" w:themeColor="text1"/>
          <w:szCs w:val="32"/>
          <w:highlight w:val="none"/>
          <w14:textFill>
            <w14:solidFill>
              <w14:schemeClr w14:val="tx1"/>
            </w14:solidFill>
          </w14:textFill>
        </w:rPr>
        <w:t>铸牢中华民族共同体意识教育走深走实，社会主义核心价值观深入人心，居民文明素养、科学素质、精神面貌、道德风尚显著提升。</w:t>
      </w:r>
      <w:r>
        <w:rPr>
          <w:rFonts w:hint="default" w:ascii="Times New Roman" w:hAnsi="Times New Roman" w:cs="Times New Roman"/>
          <w:b/>
          <w:bCs/>
          <w:color w:val="000000" w:themeColor="text1"/>
          <w:szCs w:val="32"/>
          <w:highlight w:val="none"/>
          <w14:textFill>
            <w14:solidFill>
              <w14:schemeClr w14:val="tx1"/>
            </w14:solidFill>
          </w14:textFill>
        </w:rPr>
        <w:t>就业形势总体稳定，</w:t>
      </w:r>
      <w:r>
        <w:rPr>
          <w:rFonts w:hint="default" w:ascii="Times New Roman" w:hAnsi="Times New Roman" w:cs="Times New Roman"/>
          <w:color w:val="000000" w:themeColor="text1"/>
          <w:szCs w:val="32"/>
          <w:highlight w:val="none"/>
          <w14:textFill>
            <w14:solidFill>
              <w14:schemeClr w14:val="tx1"/>
            </w14:solidFill>
          </w14:textFill>
        </w:rPr>
        <w:t>新增城镇就业4.7万人，城镇登记失业率控制在3.89%以下，城镇零就业家庭保持“动态清零”。深入开展“技能内蒙古行动”和“创业包头行动”，补贴性职业技能培训2.55万人次，发放创业担保贷款2.9亿元，带动就业4055人。包头人力资源服务产业园荣获自治区首批人力资源服务产业园、国家级产业园高效运营奖，包铝、东华职业培训学校等多家单位分获自治区级培训基地、市级高技能人才培训基地等称号，“东河嘉服”等2个品牌晋级自治区级劳务品牌，北辰养殖技术工等3个品牌获评包头市级劳务品牌，人力资源和社会保障综合行政执法大队获得全国根治拖欠农民工工资先进集体。</w:t>
      </w:r>
      <w:r>
        <w:rPr>
          <w:rFonts w:hint="default" w:ascii="Times New Roman" w:hAnsi="Times New Roman" w:cs="Times New Roman"/>
          <w:b/>
          <w:bCs/>
          <w:color w:val="000000" w:themeColor="text1"/>
          <w:szCs w:val="32"/>
          <w:highlight w:val="none"/>
          <w14:textFill>
            <w14:solidFill>
              <w14:schemeClr w14:val="tx1"/>
            </w14:solidFill>
          </w14:textFill>
        </w:rPr>
        <w:t>社会保险覆盖持续扩大，</w:t>
      </w:r>
      <w:r>
        <w:rPr>
          <w:rFonts w:hint="default" w:ascii="Times New Roman" w:hAnsi="Times New Roman" w:cs="Times New Roman"/>
          <w:color w:val="000000" w:themeColor="text1"/>
          <w:szCs w:val="32"/>
          <w:highlight w:val="none"/>
          <w14:textFill>
            <w14:solidFill>
              <w14:schemeClr w14:val="tx1"/>
            </w14:solidFill>
          </w14:textFill>
        </w:rPr>
        <w:t>城乡居民医保实现应保尽保，特殊群体参保率100%，失业保险参保24391人次，发放失业保险稳岗返还金652万元，补贴企业1866家。</w:t>
      </w:r>
      <w:r>
        <w:rPr>
          <w:rFonts w:hint="default" w:ascii="Times New Roman" w:hAnsi="Times New Roman" w:cs="Times New Roman"/>
          <w:b/>
          <w:bCs/>
          <w:color w:val="000000" w:themeColor="text1"/>
          <w:szCs w:val="32"/>
          <w:highlight w:val="none"/>
          <w14:textFill>
            <w14:solidFill>
              <w14:schemeClr w14:val="tx1"/>
            </w14:solidFill>
          </w14:textFill>
        </w:rPr>
        <w:t>教育质量大幅提升，</w:t>
      </w:r>
      <w:r>
        <w:rPr>
          <w:rFonts w:hint="default" w:ascii="Times New Roman" w:hAnsi="Times New Roman" w:cs="Times New Roman"/>
          <w:color w:val="000000" w:themeColor="text1"/>
          <w:szCs w:val="32"/>
          <w:highlight w:val="none"/>
          <w14:textFill>
            <w14:solidFill>
              <w14:schemeClr w14:val="tx1"/>
            </w14:solidFill>
          </w14:textFill>
        </w:rPr>
        <w:t>积极推进教育综合改革，</w:t>
      </w:r>
      <w:r>
        <w:rPr>
          <w:rFonts w:hint="eastAsia" w:cs="Times New Roman"/>
          <w:color w:val="000000" w:themeColor="text1"/>
          <w:szCs w:val="32"/>
          <w:highlight w:val="none"/>
          <w:lang w:eastAsia="zh-CN"/>
          <w14:textFill>
            <w14:solidFill>
              <w14:schemeClr w14:val="tx1"/>
            </w14:solidFill>
          </w14:textFill>
        </w:rPr>
        <w:t>学前教育毛入园率</w:t>
      </w:r>
      <w:r>
        <w:rPr>
          <w:rFonts w:hint="default" w:ascii="Times New Roman" w:hAnsi="Times New Roman" w:cs="Times New Roman"/>
          <w:color w:val="000000" w:themeColor="text1"/>
          <w:szCs w:val="32"/>
          <w:highlight w:val="none"/>
          <w14:textFill>
            <w14:solidFill>
              <w14:schemeClr w14:val="tx1"/>
            </w14:solidFill>
          </w14:textFill>
        </w:rPr>
        <w:t>、义务教育巩固率分别达到99%、97.3%，优质高中录取率稳定上升，</w:t>
      </w:r>
      <w:r>
        <w:rPr>
          <w:rFonts w:hint="default" w:ascii="Times New Roman" w:hAnsi="Times New Roman" w:cs="Times New Roman"/>
          <w:szCs w:val="32"/>
          <w:highlight w:val="none"/>
        </w:rPr>
        <w:t>15名教师荣获自治区“卓越教师”和“先进教师”荣誉，218名教师荣获市级学科带头人、市级教学能手</w:t>
      </w:r>
      <w:r>
        <w:rPr>
          <w:rFonts w:hint="eastAsia" w:cs="Times New Roman"/>
          <w:szCs w:val="32"/>
          <w:highlight w:val="none"/>
          <w:lang w:eastAsia="zh-CN"/>
        </w:rPr>
        <w:t>称号，</w:t>
      </w:r>
      <w:r>
        <w:rPr>
          <w:rFonts w:hint="default" w:ascii="Times New Roman" w:hAnsi="Times New Roman" w:cs="Times New Roman"/>
          <w:szCs w:val="32"/>
          <w:highlight w:val="none"/>
        </w:rPr>
        <w:t>新增自治区“领航校长”2人</w:t>
      </w:r>
      <w:r>
        <w:rPr>
          <w:rFonts w:hint="default" w:ascii="Times New Roman" w:hAnsi="Times New Roman" w:cs="Times New Roman"/>
          <w:color w:val="000000" w:themeColor="text1"/>
          <w:szCs w:val="32"/>
          <w:highlight w:val="none"/>
          <w14:textFill>
            <w14:solidFill>
              <w14:schemeClr w14:val="tx1"/>
            </w14:solidFill>
          </w14:textFill>
        </w:rPr>
        <w:t>，</w:t>
      </w:r>
      <w:r>
        <w:rPr>
          <w:rFonts w:hint="default" w:ascii="Times New Roman" w:hAnsi="Times New Roman" w:cs="Times New Roman"/>
          <w:szCs w:val="32"/>
          <w:highlight w:val="none"/>
        </w:rPr>
        <w:t>大思政“东河品牌”得到广泛认可，排球人才贯通培养成为全国有影响力的典范案例，19所学校获评“民族团结进步示范校”，家庭教育获批“自治区家长学校教育实验区”称号，6所学校获“全国中小学科学教育实验校”“全国中小学国防教育示范校”等荣誉称号</w:t>
      </w:r>
      <w:r>
        <w:rPr>
          <w:rFonts w:hint="default" w:ascii="Times New Roman" w:hAnsi="Times New Roman" w:cs="Times New Roman"/>
          <w:color w:val="000000" w:themeColor="text1"/>
          <w:szCs w:val="32"/>
          <w:highlight w:val="none"/>
          <w14:textFill>
            <w14:solidFill>
              <w14:schemeClr w14:val="tx1"/>
            </w14:solidFill>
          </w14:textFill>
        </w:rPr>
        <w:t>。</w:t>
      </w:r>
      <w:r>
        <w:rPr>
          <w:rFonts w:hint="default" w:ascii="Times New Roman" w:hAnsi="Times New Roman" w:cs="Times New Roman"/>
          <w:b/>
          <w:bCs/>
          <w:color w:val="000000" w:themeColor="text1"/>
          <w:szCs w:val="32"/>
          <w:highlight w:val="none"/>
          <w14:textFill>
            <w14:solidFill>
              <w14:schemeClr w14:val="tx1"/>
            </w14:solidFill>
          </w14:textFill>
        </w:rPr>
        <w:t>医疗卫生服务不断完善，</w:t>
      </w:r>
      <w:r>
        <w:rPr>
          <w:rFonts w:hint="default" w:ascii="Times New Roman" w:hAnsi="Times New Roman" w:cs="Times New Roman"/>
          <w:color w:val="000000" w:themeColor="text1"/>
          <w:szCs w:val="32"/>
          <w:highlight w:val="none"/>
          <w14:textFill>
            <w14:solidFill>
              <w14:schemeClr w14:val="tx1"/>
            </w14:solidFill>
          </w14:textFill>
        </w:rPr>
        <w:t>新增医疗卫生机构90个，每千常住人口医疗卫生机构床位数11.07张，每千人口执业医师增加到5.1人，获批全国医养结合示范区、自治区社区托育服务试点地区，东站街道成为国家无结核社区试点，杨圪塄街道龙城社区成为全国示范性老年友好型社区，滨河老年公寓老年慢性病康复医院成为自治区医养结合示范机构，创建基层名老中医药专家传承工作室、名中医传承工作室各1个。</w:t>
      </w:r>
      <w:r>
        <w:rPr>
          <w:rFonts w:hint="default" w:ascii="Times New Roman" w:hAnsi="Times New Roman" w:cs="Times New Roman"/>
          <w:b/>
          <w:bCs/>
          <w:color w:val="000000" w:themeColor="text1"/>
          <w:szCs w:val="32"/>
          <w:highlight w:val="none"/>
          <w14:textFill>
            <w14:solidFill>
              <w14:schemeClr w14:val="tx1"/>
            </w14:solidFill>
          </w14:textFill>
        </w:rPr>
        <w:t>扎实推进双拥工作</w:t>
      </w:r>
      <w:r>
        <w:rPr>
          <w:rFonts w:hint="default" w:ascii="Times New Roman" w:hAnsi="Times New Roman" w:cs="Times New Roman"/>
          <w:color w:val="000000" w:themeColor="text1"/>
          <w:szCs w:val="32"/>
          <w:highlight w:val="none"/>
          <w14:textFill>
            <w14:solidFill>
              <w14:schemeClr w14:val="tx1"/>
            </w14:solidFill>
          </w14:textFill>
        </w:rPr>
        <w:t>，安置退役士兵20名。</w:t>
      </w:r>
    </w:p>
    <w:p w14:paraId="3277B76B">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——基层社会治理迈上新台阶。</w:t>
      </w:r>
      <w:r>
        <w:rPr>
          <w:rFonts w:hint="default" w:ascii="Times New Roman" w:hAnsi="Times New Roman" w:cs="Times New Roman"/>
          <w:color w:val="000000" w:themeColor="text1"/>
          <w:highlight w:val="none"/>
          <w14:textFill>
            <w14:solidFill>
              <w14:schemeClr w14:val="tx1"/>
            </w14:solidFill>
          </w14:textFill>
        </w:rPr>
        <w:t>全面推进行政执法公示、执法全过程记录、重大行政执法决定法制审核制度。</w:t>
      </w:r>
      <w:r>
        <w:rPr>
          <w:rFonts w:hint="default" w:ascii="Times New Roman" w:hAnsi="Times New Roman" w:cs="Times New Roman"/>
          <w:b/>
          <w:bCs/>
          <w:color w:val="000000" w:themeColor="text1"/>
          <w:szCs w:val="32"/>
          <w:highlight w:val="none"/>
          <w14:textFill>
            <w14:solidFill>
              <w14:schemeClr w14:val="tx1"/>
            </w14:solidFill>
          </w14:textFill>
        </w:rPr>
        <w:t>创新实施党员分类“五式管理法”</w:t>
      </w:r>
      <w:r>
        <w:rPr>
          <w:rFonts w:hint="default" w:ascii="Times New Roman" w:hAnsi="Times New Roman" w:cs="Times New Roman"/>
          <w:color w:val="000000" w:themeColor="text1"/>
          <w:szCs w:val="32"/>
          <w:highlight w:val="none"/>
          <w14:textFill>
            <w14:solidFill>
              <w14:schemeClr w14:val="tx1"/>
            </w14:solidFill>
          </w14:textFill>
        </w:rPr>
        <w:t>，打造自治区级坚强堡垒“模范”支部5个，市级“最强党支部”“坚强堡垒支部”117个、区级“最强党支部”“堡垒支部”567个，“东河e普法”入选全国网信系统网络普法优秀案例。</w:t>
      </w:r>
      <w:r>
        <w:rPr>
          <w:rFonts w:hint="default" w:ascii="Times New Roman" w:hAnsi="Times New Roman" w:cs="Times New Roman"/>
          <w:b/>
          <w:bCs/>
          <w:color w:val="000000" w:themeColor="text1"/>
          <w:szCs w:val="32"/>
          <w:highlight w:val="none"/>
          <w14:textFill>
            <w14:solidFill>
              <w14:schemeClr w14:val="tx1"/>
            </w14:solidFill>
          </w14:textFill>
        </w:rPr>
        <w:t>大力实施“党建引领社区网格化治理能力提升”工程</w:t>
      </w:r>
      <w:r>
        <w:rPr>
          <w:rFonts w:hint="default" w:ascii="Times New Roman" w:hAnsi="Times New Roman" w:cs="Times New Roman"/>
          <w:color w:val="000000" w:themeColor="text1"/>
          <w:szCs w:val="32"/>
          <w:highlight w:val="none"/>
          <w14:textFill>
            <w14:solidFill>
              <w14:schemeClr w14:val="tx1"/>
            </w14:solidFill>
          </w14:textFill>
        </w:rPr>
        <w:t>，完善“网格党小组+专职网格员+楼栋（单元、联户）长”的基层微治理体系，健全社区党组织领导下的居委会、业委会、物业服务企业“三方联动”议事协商机制，</w:t>
      </w:r>
      <w:r>
        <w:rPr>
          <w:rFonts w:hint="default" w:ascii="Times New Roman" w:hAnsi="Times New Roman" w:cs="Times New Roman"/>
          <w:color w:val="000000" w:themeColor="text1"/>
          <w:szCs w:val="32"/>
          <w:highlight w:val="none"/>
          <w:lang w:val="zh-CN"/>
          <w14:textFill>
            <w14:solidFill>
              <w14:schemeClr w14:val="tx1"/>
            </w14:solidFill>
          </w14:textFill>
        </w:rPr>
        <w:t>选树</w:t>
      </w:r>
      <w:r>
        <w:rPr>
          <w:rFonts w:hint="default" w:ascii="Times New Roman" w:hAnsi="Times New Roman" w:cs="Times New Roman"/>
          <w:color w:val="000000" w:themeColor="text1"/>
          <w:szCs w:val="32"/>
          <w:highlight w:val="none"/>
          <w14:textFill>
            <w14:solidFill>
              <w14:schemeClr w14:val="tx1"/>
            </w14:solidFill>
          </w14:textFill>
        </w:rPr>
        <w:t>培育了一批优秀</w:t>
      </w:r>
      <w:r>
        <w:rPr>
          <w:rFonts w:hint="default" w:ascii="Times New Roman" w:hAnsi="Times New Roman" w:cs="Times New Roman"/>
          <w:color w:val="000000" w:themeColor="text1"/>
          <w:szCs w:val="32"/>
          <w:highlight w:val="none"/>
          <w:lang w:val="zh-CN"/>
          <w14:textFill>
            <w14:solidFill>
              <w14:schemeClr w14:val="tx1"/>
            </w14:solidFill>
          </w14:textFill>
        </w:rPr>
        <w:t>社区党组织书记，</w:t>
      </w:r>
      <w:r>
        <w:rPr>
          <w:rFonts w:hint="default" w:ascii="Times New Roman" w:hAnsi="Times New Roman" w:cs="Times New Roman"/>
          <w:color w:val="000000" w:themeColor="text1"/>
          <w:szCs w:val="32"/>
          <w:highlight w:val="none"/>
          <w14:textFill>
            <w14:solidFill>
              <w14:schemeClr w14:val="tx1"/>
            </w14:solidFill>
          </w14:textFill>
        </w:rPr>
        <w:t>4个项目入选自治区基层治理示范，2个社区获“北疆示范社区”称号。成立全市首家矛调中心。</w:t>
      </w:r>
      <w:r>
        <w:rPr>
          <w:rFonts w:hint="default" w:ascii="Times New Roman" w:hAnsi="Times New Roman" w:cs="Times New Roman"/>
          <w:b/>
          <w:bCs/>
          <w:color w:val="000000" w:themeColor="text1"/>
          <w:szCs w:val="32"/>
          <w:highlight w:val="none"/>
          <w14:textFill>
            <w14:solidFill>
              <w14:schemeClr w14:val="tx1"/>
            </w14:solidFill>
          </w14:textFill>
        </w:rPr>
        <w:t>全面加强民族团结事业</w:t>
      </w:r>
      <w:r>
        <w:rPr>
          <w:rFonts w:hint="default" w:ascii="Times New Roman" w:hAnsi="Times New Roman" w:cs="Times New Roman"/>
          <w:color w:val="000000" w:themeColor="text1"/>
          <w:szCs w:val="32"/>
          <w:highlight w:val="none"/>
          <w14:textFill>
            <w14:solidFill>
              <w14:schemeClr w14:val="tx1"/>
            </w14:solidFill>
          </w14:textFill>
        </w:rPr>
        <w:t>，建成民族团结进步创建示范点40处，</w:t>
      </w:r>
      <w:r>
        <w:rPr>
          <w:rFonts w:hint="eastAsia" w:ascii="Times New Roman" w:hAnsi="Times New Roman" w:cs="Times New Roman"/>
          <w:color w:val="000000" w:themeColor="text1"/>
          <w:szCs w:val="32"/>
          <w:highlight w:val="none"/>
          <w:lang w:val="en-US" w:eastAsia="zh-CN"/>
          <w14:textFill>
            <w14:solidFill>
              <w14:schemeClr w14:val="tx1"/>
            </w14:solidFill>
          </w14:textFill>
        </w:rPr>
        <w:t>东河区</w:t>
      </w:r>
      <w:r>
        <w:rPr>
          <w:rFonts w:hint="default" w:ascii="Times New Roman" w:hAnsi="Times New Roman" w:cs="Times New Roman"/>
          <w:color w:val="000000" w:themeColor="text1"/>
          <w:szCs w:val="32"/>
          <w:highlight w:val="none"/>
          <w14:textFill>
            <w14:solidFill>
              <w14:schemeClr w14:val="tx1"/>
            </w14:solidFill>
          </w14:textFill>
        </w:rPr>
        <w:t>文化馆、满都呼社区获评自治区民族团结进步示范单位。</w:t>
      </w:r>
      <w:r>
        <w:rPr>
          <w:rFonts w:hint="default" w:ascii="Times New Roman" w:hAnsi="Times New Roman" w:cs="Times New Roman"/>
          <w:b/>
          <w:bCs/>
          <w:color w:val="000000" w:themeColor="text1"/>
          <w:szCs w:val="32"/>
          <w:highlight w:val="none"/>
          <w14:textFill>
            <w14:solidFill>
              <w14:schemeClr w14:val="tx1"/>
            </w14:solidFill>
          </w14:textFill>
        </w:rPr>
        <w:t>织密织牢安全防护网</w:t>
      </w:r>
      <w:r>
        <w:rPr>
          <w:rFonts w:hint="default" w:ascii="Times New Roman" w:hAnsi="Times New Roman" w:cs="Times New Roman"/>
          <w:color w:val="000000" w:themeColor="text1"/>
          <w:szCs w:val="32"/>
          <w:highlight w:val="none"/>
          <w14:textFill>
            <w14:solidFill>
              <w14:schemeClr w14:val="tx1"/>
            </w14:solidFill>
          </w14:textFill>
        </w:rPr>
        <w:t>，积极推进刑事警情、治安警情工作，刑事立案数大幅下降，安全生产事故起数、死亡人数和火灾起数大幅下降，食药安全监管体系不断完善。</w:t>
      </w:r>
    </w:p>
    <w:p w14:paraId="35C44B47">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——干部干事创业呈现新气象。</w:t>
      </w:r>
      <w:r>
        <w:rPr>
          <w:rFonts w:hint="default" w:ascii="Times New Roman" w:hAnsi="Times New Roman" w:cs="Times New Roman"/>
          <w:color w:val="000000" w:themeColor="text1"/>
          <w:szCs w:val="32"/>
          <w:highlight w:val="none"/>
          <w14:textFill>
            <w14:solidFill>
              <w14:schemeClr w14:val="tx1"/>
            </w14:solidFill>
          </w14:textFill>
        </w:rPr>
        <w:t>坚持用习近平新时代中国特色社会主义思想凝心铸魂，</w:t>
      </w:r>
      <w:r>
        <w:rPr>
          <w:rFonts w:hint="eastAsia" w:cs="Times New Roman"/>
          <w:color w:val="000000" w:themeColor="text1"/>
          <w:szCs w:val="32"/>
          <w:highlight w:val="none"/>
          <w:lang w:eastAsia="zh-CN"/>
          <w14:textFill>
            <w14:solidFill>
              <w14:schemeClr w14:val="tx1"/>
            </w14:solidFill>
          </w14:textFill>
        </w:rPr>
        <w:t>深入开展中央八项规定精神学习教育</w:t>
      </w:r>
      <w:r>
        <w:rPr>
          <w:rFonts w:hint="default" w:ascii="Times New Roman" w:hAnsi="Times New Roman" w:cs="Times New Roman"/>
          <w:color w:val="000000" w:themeColor="text1"/>
          <w:szCs w:val="32"/>
          <w:highlight w:val="none"/>
          <w14:textFill>
            <w14:solidFill>
              <w14:schemeClr w14:val="tx1"/>
            </w14:solidFill>
          </w14:textFill>
        </w:rPr>
        <w:t>，巩固深化“</w:t>
      </w:r>
      <w:r>
        <w:rPr>
          <w:rFonts w:hint="eastAsia" w:cs="Times New Roman"/>
          <w:color w:val="000000" w:themeColor="text1"/>
          <w:szCs w:val="32"/>
          <w:highlight w:val="none"/>
          <w:lang w:eastAsia="zh-CN"/>
          <w14:textFill>
            <w14:solidFill>
              <w14:schemeClr w14:val="tx1"/>
            </w14:solidFill>
          </w14:textFill>
        </w:rPr>
        <w:t>听党话、感党恩、跟党走</w:t>
      </w:r>
      <w:r>
        <w:rPr>
          <w:rFonts w:hint="default" w:ascii="Times New Roman" w:hAnsi="Times New Roman" w:cs="Times New Roman"/>
          <w:color w:val="000000" w:themeColor="text1"/>
          <w:szCs w:val="32"/>
          <w:highlight w:val="none"/>
          <w14:textFill>
            <w14:solidFill>
              <w14:schemeClr w14:val="tx1"/>
            </w14:solidFill>
          </w14:textFill>
        </w:rPr>
        <w:t>”群众教育、“不忘初心、牢记使命”主题教育、党纪学习教育、党史学习教育等，“六句话的事实和道理”广泛认同，中华民族共同体意识深入人心。持续优化干部队伍专业、经历等结构，</w:t>
      </w:r>
      <w:r>
        <w:rPr>
          <w:rFonts w:hint="default" w:ascii="Times New Roman" w:hAnsi="Times New Roman" w:cs="Times New Roman"/>
          <w:color w:val="000000" w:themeColor="text1"/>
          <w:highlight w:val="none"/>
          <w:lang w:val="zh-CN"/>
          <w14:textFill>
            <w14:solidFill>
              <w14:schemeClr w14:val="tx1"/>
            </w14:solidFill>
          </w14:textFill>
        </w:rPr>
        <w:t>开展村党组织书记“头雁争星”比武活动，营造创先争优浓厚氛围；凝聚各方人才力量，</w:t>
      </w:r>
      <w:r>
        <w:rPr>
          <w:rFonts w:hint="default" w:ascii="Times New Roman" w:hAnsi="Times New Roman" w:cs="Times New Roman"/>
          <w:color w:val="000000" w:themeColor="text1"/>
          <w:highlight w:val="none"/>
          <w14:textFill>
            <w14:solidFill>
              <w14:schemeClr w14:val="tx1"/>
            </w14:solidFill>
          </w14:textFill>
        </w:rPr>
        <w:t>累计选派驻村第一书记、乡村振兴指导员、到村任职选调生、选聘名誉村长，建立沟通联系、跟踪培养、正向激励等工作机制，推动各类人才参与村级建设；坚持选贤任能，通过专题培训、挂职锻炼等形式，提升干部驾驭复杂局面、服务高质量发展本领</w:t>
      </w:r>
      <w:r>
        <w:rPr>
          <w:rFonts w:hint="default" w:ascii="Times New Roman" w:hAnsi="Times New Roman" w:cs="Times New Roman"/>
          <w:color w:val="000000" w:themeColor="text1"/>
          <w:szCs w:val="32"/>
          <w:highlight w:val="none"/>
          <w14:textFill>
            <w14:solidFill>
              <w14:schemeClr w14:val="tx1"/>
            </w14:solidFill>
          </w14:textFill>
        </w:rPr>
        <w:t>。深入推进全面从严治党，有效遏制“四风”问题反弹，巩固发展反腐败斗争压倒性态势，全面提升党员干部执行力落实力，党风政风社会风气焕然一新，热火朝天苦干实干氛围再现。“十四五”规划目标任务</w:t>
      </w:r>
      <w:r>
        <w:rPr>
          <w:rFonts w:hint="eastAsia" w:ascii="Times New Roman" w:hAnsi="Times New Roman" w:cs="Times New Roman"/>
          <w:color w:val="000000" w:themeColor="text1"/>
          <w:szCs w:val="32"/>
          <w:highlight w:val="none"/>
          <w:lang w:val="en-US" w:eastAsia="zh-CN"/>
          <w14:textFill>
            <w14:solidFill>
              <w14:schemeClr w14:val="tx1"/>
            </w14:solidFill>
          </w14:textFill>
        </w:rPr>
        <w:t>圆满</w:t>
      </w:r>
      <w:r>
        <w:rPr>
          <w:rFonts w:hint="default" w:ascii="Times New Roman" w:hAnsi="Times New Roman" w:cs="Times New Roman"/>
          <w:color w:val="000000" w:themeColor="text1"/>
          <w:szCs w:val="32"/>
          <w:highlight w:val="none"/>
          <w14:textFill>
            <w14:solidFill>
              <w14:schemeClr w14:val="tx1"/>
            </w14:solidFill>
          </w14:textFill>
        </w:rPr>
        <w:t>完成，为“十五五”开好局、起好步奠定</w:t>
      </w:r>
      <w:r>
        <w:rPr>
          <w:rFonts w:hint="eastAsia" w:ascii="Times New Roman" w:hAnsi="Times New Roman" w:cs="Times New Roman"/>
          <w:color w:val="000000" w:themeColor="text1"/>
          <w:szCs w:val="32"/>
          <w:highlight w:val="none"/>
          <w:lang w:val="en-US" w:eastAsia="zh-CN"/>
          <w14:textFill>
            <w14:solidFill>
              <w14:schemeClr w14:val="tx1"/>
            </w14:solidFill>
          </w14:textFill>
        </w:rPr>
        <w:t>坚实基础</w:t>
      </w:r>
      <w:r>
        <w:rPr>
          <w:rFonts w:hint="default" w:ascii="Times New Roman" w:hAnsi="Times New Roman" w:cs="Times New Roman"/>
          <w:color w:val="000000" w:themeColor="text1"/>
          <w:szCs w:val="32"/>
          <w:highlight w:val="none"/>
          <w14:textFill>
            <w14:solidFill>
              <w14:schemeClr w14:val="tx1"/>
            </w14:solidFill>
          </w14:textFill>
        </w:rPr>
        <w:t>。</w:t>
      </w:r>
    </w:p>
    <w:p w14:paraId="4688C09A">
      <w:pPr>
        <w:pStyle w:val="40"/>
        <w:numPr>
          <w:ilvl w:val="0"/>
          <w:numId w:val="0"/>
        </w:numPr>
        <w:spacing w:before="217" w:beforeLines="50" w:after="217" w:afterLines="50" w:line="560" w:lineRule="exact"/>
        <w:ind w:firstLine="643" w:firstLineChars="200"/>
        <w:jc w:val="both"/>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4" w:name="_Toc7687"/>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第二节 主要机遇</w:t>
      </w:r>
      <w:bookmarkEnd w:id="4"/>
    </w:p>
    <w:p w14:paraId="0751BDAC">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“十五五”时期东河区发展面临诸多重大战略机遇，立足发展基础、发挥比较优势、加快高质量发展前景广阔。</w:t>
      </w:r>
    </w:p>
    <w:p w14:paraId="65E62E46">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——多重国家战略叠加交汇赋予更大发展势能。</w:t>
      </w:r>
      <w:r>
        <w:rPr>
          <w:rFonts w:hint="default" w:ascii="Times New Roman" w:hAnsi="Times New Roman" w:cs="Times New Roman"/>
          <w:color w:val="000000" w:themeColor="text1"/>
          <w:szCs w:val="32"/>
          <w:highlight w:val="none"/>
          <w14:textFill>
            <w14:solidFill>
              <w14:schemeClr w14:val="tx1"/>
            </w14:solidFill>
          </w14:textFill>
        </w:rPr>
        <w:t>新发展格局加速构建</w:t>
      </w:r>
      <w:r>
        <w:rPr>
          <w:rFonts w:hint="eastAsia" w:ascii="Times New Roman" w:hAnsi="Times New Roman"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为我区融入国内大循环、国内国际双循环</w:t>
      </w:r>
      <w:r>
        <w:rPr>
          <w:rFonts w:hint="eastAsia" w:ascii="Times New Roman" w:hAnsi="Times New Roman" w:cs="Times New Roman"/>
          <w:color w:val="000000" w:themeColor="text1"/>
          <w:szCs w:val="32"/>
          <w:highlight w:val="none"/>
          <w:lang w:val="en-US" w:eastAsia="zh-CN"/>
          <w14:textFill>
            <w14:solidFill>
              <w14:schemeClr w14:val="tx1"/>
            </w14:solidFill>
          </w14:textFill>
        </w:rPr>
        <w:t>创造新机遇</w:t>
      </w:r>
      <w:r>
        <w:rPr>
          <w:rFonts w:hint="default" w:ascii="Times New Roman" w:hAnsi="Times New Roman" w:cs="Times New Roman"/>
          <w:color w:val="000000" w:themeColor="text1"/>
          <w:szCs w:val="32"/>
          <w:highlight w:val="none"/>
          <w14:textFill>
            <w14:solidFill>
              <w14:schemeClr w14:val="tx1"/>
            </w14:solidFill>
          </w14:textFill>
        </w:rPr>
        <w:t>，“双碳”战略持续深化有利于我区传统优势产业全面绿色转型，黄河流域生态保护和高质量发展、新一轮西部大开发、中蒙俄经济走廊建设和扩大内需战略、乡村振兴战略、科教兴国战略等多个国家战略叠加更为我区在各领域挖掘潜力、创新发展提供政策空间。特别是以铝代钢、以铝节铜、以铝代塑正成为一种发展方向，为我区铝产业加速做大提供了历史性机遇。要充分利用国家战略叠加机遇，找准对接点和发力点，</w:t>
      </w:r>
      <w:r>
        <w:rPr>
          <w:rFonts w:hint="eastAsia" w:ascii="Times New Roman" w:hAnsi="Times New Roman" w:cs="Times New Roman"/>
          <w:color w:val="000000" w:themeColor="text1"/>
          <w:szCs w:val="32"/>
          <w:highlight w:val="none"/>
          <w:lang w:val="en-US" w:eastAsia="zh-CN"/>
          <w14:textFill>
            <w14:solidFill>
              <w14:schemeClr w14:val="tx1"/>
            </w14:solidFill>
          </w14:textFill>
        </w:rPr>
        <w:t>以</w:t>
      </w:r>
      <w:r>
        <w:rPr>
          <w:rFonts w:hint="default" w:ascii="Times New Roman" w:hAnsi="Times New Roman" w:cs="Times New Roman"/>
          <w:color w:val="000000" w:themeColor="text1"/>
          <w:szCs w:val="32"/>
          <w:highlight w:val="none"/>
          <w14:textFill>
            <w14:solidFill>
              <w14:schemeClr w14:val="tx1"/>
            </w14:solidFill>
          </w14:textFill>
        </w:rPr>
        <w:t>市场化、法治化手段，加快</w:t>
      </w:r>
      <w:r>
        <w:rPr>
          <w:rFonts w:hint="eastAsia" w:ascii="Times New Roman" w:hAnsi="Times New Roman" w:cs="Times New Roman"/>
          <w:color w:val="000000" w:themeColor="text1"/>
          <w:szCs w:val="32"/>
          <w:highlight w:val="none"/>
          <w:lang w:val="en-US" w:eastAsia="zh-CN"/>
          <w14:textFill>
            <w14:solidFill>
              <w14:schemeClr w14:val="tx1"/>
            </w14:solidFill>
          </w14:textFill>
        </w:rPr>
        <w:t>产业</w:t>
      </w:r>
      <w:r>
        <w:rPr>
          <w:rFonts w:hint="default" w:ascii="Times New Roman" w:hAnsi="Times New Roman" w:cs="Times New Roman"/>
          <w:color w:val="000000" w:themeColor="text1"/>
          <w:szCs w:val="32"/>
          <w:highlight w:val="none"/>
          <w14:textFill>
            <w14:solidFill>
              <w14:schemeClr w14:val="tx1"/>
            </w14:solidFill>
          </w14:textFill>
        </w:rPr>
        <w:t>转型</w:t>
      </w:r>
      <w:r>
        <w:rPr>
          <w:rFonts w:hint="eastAsia" w:ascii="Times New Roman" w:hAnsi="Times New Roman" w:cs="Times New Roman"/>
          <w:color w:val="000000" w:themeColor="text1"/>
          <w:szCs w:val="32"/>
          <w:highlight w:val="none"/>
          <w:lang w:val="en-US" w:eastAsia="zh-CN"/>
          <w14:textFill>
            <w14:solidFill>
              <w14:schemeClr w14:val="tx1"/>
            </w14:solidFill>
          </w14:textFill>
        </w:rPr>
        <w:t>升级</w:t>
      </w:r>
      <w:r>
        <w:rPr>
          <w:rFonts w:hint="default" w:ascii="Times New Roman" w:hAnsi="Times New Roman" w:cs="Times New Roman"/>
          <w:color w:val="000000" w:themeColor="text1"/>
          <w:szCs w:val="32"/>
          <w:highlight w:val="none"/>
          <w14:textFill>
            <w14:solidFill>
              <w14:schemeClr w14:val="tx1"/>
            </w14:solidFill>
          </w14:textFill>
        </w:rPr>
        <w:t>，培育新动能、激发新活力，</w:t>
      </w:r>
      <w:r>
        <w:rPr>
          <w:rFonts w:hint="eastAsia" w:ascii="Times New Roman" w:hAnsi="Times New Roman" w:cs="Times New Roman"/>
          <w:color w:val="000000" w:themeColor="text1"/>
          <w:szCs w:val="32"/>
          <w:highlight w:val="none"/>
          <w:lang w:val="en-US" w:eastAsia="zh-CN"/>
          <w14:textFill>
            <w14:solidFill>
              <w14:schemeClr w14:val="tx1"/>
            </w14:solidFill>
          </w14:textFill>
        </w:rPr>
        <w:t>打</w:t>
      </w:r>
      <w:r>
        <w:rPr>
          <w:rFonts w:hint="default" w:ascii="Times New Roman" w:hAnsi="Times New Roman" w:cs="Times New Roman"/>
          <w:color w:val="000000" w:themeColor="text1"/>
          <w:szCs w:val="32"/>
          <w:highlight w:val="none"/>
          <w14:textFill>
            <w14:solidFill>
              <w14:schemeClr w14:val="tx1"/>
            </w14:solidFill>
          </w14:textFill>
        </w:rPr>
        <w:t>造经济发展新优势。</w:t>
      </w:r>
    </w:p>
    <w:p w14:paraId="4A8A1583">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——系列增量政策释放红利提供更强发展支撑。</w:t>
      </w:r>
      <w:r>
        <w:rPr>
          <w:rFonts w:hint="default" w:ascii="Times New Roman" w:hAnsi="Times New Roman" w:cs="Times New Roman"/>
          <w:color w:val="000000" w:themeColor="text1"/>
          <w:szCs w:val="32"/>
          <w:highlight w:val="none"/>
          <w14:textFill>
            <w14:solidFill>
              <w14:schemeClr w14:val="tx1"/>
            </w14:solidFill>
          </w14:textFill>
        </w:rPr>
        <w:t>党中央、国务院关于支持地方化解债务风险、推动房地产市场止跌回稳等一揽子增量政策和鼓励京津冀、长三角、珠三角等东部沿海地区传统制造产业向中西部转移、支持边疆民族地区老工业基地转型升级的政策，特别是国务院《关于推动内蒙古高质量发展奋力书写中国式现代化新篇章的意见》明确支持包头铝业园区建设，为我区加快做大铝业园区注入强劲动力。《铝产业高质量发展实施方案（2025-2027）》明确铝产业发展目标举措，为我区铝产业发展提供重要政策</w:t>
      </w:r>
      <w:r>
        <w:rPr>
          <w:rFonts w:hint="default" w:ascii="Times New Roman" w:hAnsi="Times New Roman" w:cs="Times New Roman"/>
          <w:szCs w:val="32"/>
          <w:highlight w:val="none"/>
        </w:rPr>
        <w:t>支撑。同时，自治区围绕落实“五大任务”以及推动呼包鄂乌一</w:t>
      </w:r>
      <w:r>
        <w:rPr>
          <w:rFonts w:hint="default" w:ascii="Times New Roman" w:hAnsi="Times New Roman" w:cs="Times New Roman"/>
          <w:color w:val="000000" w:themeColor="text1"/>
          <w:szCs w:val="32"/>
          <w:highlight w:val="none"/>
          <w14:textFill>
            <w14:solidFill>
              <w14:schemeClr w14:val="tx1"/>
            </w14:solidFill>
          </w14:textFill>
        </w:rPr>
        <w:t>体化发展和呼包同城化细化推出的一系列政策举措，也为我区转型升级带来重大机遇。要用好各类政策，进一步推进跨区域要素流动和资源整合，推进绿色低碳转型，积极承接先进地区产业转移，推动产业多元化升级，不断提升区域影响力。</w:t>
      </w:r>
    </w:p>
    <w:p w14:paraId="2E681384">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——能源变革叠加科技革命生成更足发展动能。</w:t>
      </w:r>
      <w:r>
        <w:rPr>
          <w:rFonts w:hint="default" w:ascii="Times New Roman" w:hAnsi="Times New Roman" w:cs="Times New Roman"/>
          <w:color w:val="000000" w:themeColor="text1"/>
          <w:szCs w:val="32"/>
          <w:highlight w:val="none"/>
          <w14:textFill>
            <w14:solidFill>
              <w14:schemeClr w14:val="tx1"/>
            </w14:solidFill>
          </w14:textFill>
        </w:rPr>
        <w:t>能源行业变革以及氢能储能技术推广普及、新型电力系统构建有力促进传统产业绿色低碳转型，第四次工业革命重塑工业化发展动力，带动新能源、新材料、再生资源、人工智能、低空经济等新兴产业发展，也为我区做大做强铝产业和布局新兴产业、未来产业提供了机遇，促进产业智能化、融合化发展。</w:t>
      </w:r>
    </w:p>
    <w:p w14:paraId="69C16905">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——重大交通设施互联互通集聚更多发展要素。</w:t>
      </w:r>
      <w:r>
        <w:rPr>
          <w:rFonts w:hint="eastAsia" w:eastAsia="楷体_GB2312" w:cs="Times New Roman"/>
          <w:b/>
          <w:bCs/>
          <w:color w:val="000000" w:themeColor="text1"/>
          <w:szCs w:val="32"/>
          <w:highlight w:val="none"/>
          <w:lang w:eastAsia="zh-CN"/>
          <w14:textFill>
            <w14:solidFill>
              <w14:schemeClr w14:val="tx1"/>
            </w14:solidFill>
          </w14:textFill>
        </w:rPr>
        <w:t>包银</w:t>
      </w:r>
      <w:r>
        <w:rPr>
          <w:rFonts w:hint="default" w:ascii="Times New Roman" w:hAnsi="Times New Roman" w:cs="Times New Roman"/>
          <w:color w:val="000000" w:themeColor="text1"/>
          <w:szCs w:val="32"/>
          <w:highlight w:val="none"/>
          <w14:textFill>
            <w14:solidFill>
              <w14:schemeClr w14:val="tx1"/>
            </w14:solidFill>
          </w14:textFill>
        </w:rPr>
        <w:t>高铁、包鄂高铁和东河机场升级改造等重大基础设施的建设，进一步凸显</w:t>
      </w:r>
      <w:r>
        <w:rPr>
          <w:rFonts w:hint="eastAsia" w:ascii="Times New Roman" w:hAnsi="Times New Roman" w:cs="Times New Roman"/>
          <w:color w:val="000000" w:themeColor="text1"/>
          <w:szCs w:val="32"/>
          <w:highlight w:val="none"/>
          <w:lang w:val="en-US" w:eastAsia="zh-CN"/>
          <w14:textFill>
            <w14:solidFill>
              <w14:schemeClr w14:val="tx1"/>
            </w14:solidFill>
          </w14:textFill>
        </w:rPr>
        <w:t>我区</w:t>
      </w:r>
      <w:r>
        <w:rPr>
          <w:rFonts w:hint="default" w:ascii="Times New Roman" w:hAnsi="Times New Roman" w:cs="Times New Roman"/>
          <w:color w:val="000000" w:themeColor="text1"/>
          <w:szCs w:val="32"/>
          <w:highlight w:val="none"/>
          <w14:textFill>
            <w14:solidFill>
              <w14:schemeClr w14:val="tx1"/>
            </w14:solidFill>
          </w14:textFill>
        </w:rPr>
        <w:t>在呼包鄂城市群中的区位和枢纽优势，极大地增强交通通达性，提升人员和货物运输能力和集散能力，促进各类资源要素加速融通集聚，为我区加快推进</w:t>
      </w:r>
      <w:r>
        <w:rPr>
          <w:rFonts w:hint="eastAsia" w:ascii="Times New Roman" w:hAnsi="Times New Roman" w:cs="Times New Roman"/>
          <w:color w:val="000000" w:themeColor="text1"/>
          <w:szCs w:val="32"/>
          <w:highlight w:val="none"/>
          <w:lang w:val="en-US" w:eastAsia="zh-CN"/>
          <w14:textFill>
            <w14:solidFill>
              <w14:schemeClr w14:val="tx1"/>
            </w14:solidFill>
          </w14:textFill>
        </w:rPr>
        <w:t>服务</w:t>
      </w:r>
      <w:r>
        <w:rPr>
          <w:rFonts w:hint="default" w:ascii="Times New Roman" w:hAnsi="Times New Roman" w:cs="Times New Roman"/>
          <w:color w:val="000000" w:themeColor="text1"/>
          <w:szCs w:val="32"/>
          <w:highlight w:val="none"/>
          <w14:textFill>
            <w14:solidFill>
              <w14:schemeClr w14:val="tx1"/>
            </w14:solidFill>
          </w14:textFill>
        </w:rPr>
        <w:t>业</w:t>
      </w:r>
      <w:r>
        <w:rPr>
          <w:rFonts w:hint="eastAsia" w:ascii="Times New Roman" w:hAnsi="Times New Roman" w:cs="Times New Roman"/>
          <w:color w:val="000000" w:themeColor="text1"/>
          <w:szCs w:val="32"/>
          <w:highlight w:val="none"/>
          <w:lang w:val="en-US" w:eastAsia="zh-CN"/>
          <w14:textFill>
            <w14:solidFill>
              <w14:schemeClr w14:val="tx1"/>
            </w14:solidFill>
          </w14:textFill>
        </w:rPr>
        <w:t>高质量发展</w:t>
      </w:r>
      <w:r>
        <w:rPr>
          <w:rFonts w:hint="default" w:ascii="Times New Roman" w:hAnsi="Times New Roman" w:cs="Times New Roman"/>
          <w:color w:val="000000" w:themeColor="text1"/>
          <w:szCs w:val="32"/>
          <w:highlight w:val="none"/>
          <w14:textFill>
            <w14:solidFill>
              <w14:schemeClr w14:val="tx1"/>
            </w14:solidFill>
          </w14:textFill>
        </w:rPr>
        <w:t>创造良好条件。</w:t>
      </w:r>
    </w:p>
    <w:p w14:paraId="3BE6DC41">
      <w:pPr>
        <w:pStyle w:val="40"/>
        <w:numPr>
          <w:ilvl w:val="0"/>
          <w:numId w:val="0"/>
        </w:numPr>
        <w:spacing w:before="217" w:beforeLines="50" w:after="217" w:afterLines="50" w:line="560" w:lineRule="exact"/>
        <w:ind w:firstLine="643" w:firstLineChars="200"/>
        <w:jc w:val="both"/>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5" w:name="_Toc30702"/>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第三节 挑战与问题</w:t>
      </w:r>
      <w:bookmarkEnd w:id="5"/>
    </w:p>
    <w:p w14:paraId="229C719F">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“十五五”时期，受国内外大环境影响，我区发展也面临不确定难预料因素增多、发展制约性矛盾问题突出等挑战。</w:t>
      </w:r>
    </w:p>
    <w:p w14:paraId="66BFA997">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从国内环境来看</w:t>
      </w:r>
      <w:r>
        <w:rPr>
          <w:rFonts w:hint="default" w:ascii="Times New Roman" w:hAnsi="Times New Roman" w:cs="Times New Roman"/>
          <w:color w:val="000000" w:themeColor="text1"/>
          <w:szCs w:val="32"/>
          <w:highlight w:val="none"/>
          <w14:textFill>
            <w14:solidFill>
              <w14:schemeClr w14:val="tx1"/>
            </w14:solidFill>
          </w14:textFill>
        </w:rPr>
        <w:t>，当前国际经贸秩序遭受严峻挑战，关税政策频繁变动，对铝产业上下游影响深远，产业体系建设、产业结构调整</w:t>
      </w:r>
      <w:r>
        <w:rPr>
          <w:rFonts w:hint="eastAsia" w:ascii="Times New Roman" w:hAnsi="Times New Roman" w:cs="Times New Roman"/>
          <w:color w:val="000000" w:themeColor="text1"/>
          <w:szCs w:val="32"/>
          <w:highlight w:val="none"/>
          <w:lang w:val="en-US" w:eastAsia="zh-CN"/>
          <w14:textFill>
            <w14:solidFill>
              <w14:schemeClr w14:val="tx1"/>
            </w14:solidFill>
          </w14:textFill>
        </w:rPr>
        <w:t>需</w:t>
      </w:r>
      <w:r>
        <w:rPr>
          <w:rFonts w:hint="default" w:ascii="Times New Roman" w:hAnsi="Times New Roman" w:cs="Times New Roman"/>
          <w:color w:val="000000" w:themeColor="text1"/>
          <w:szCs w:val="32"/>
          <w:highlight w:val="none"/>
          <w14:textFill>
            <w14:solidFill>
              <w14:schemeClr w14:val="tx1"/>
            </w14:solidFill>
          </w14:textFill>
        </w:rPr>
        <w:t>更加关注环境变化。</w:t>
      </w:r>
    </w:p>
    <w:p w14:paraId="61D9F4F9">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从区内竞争来看</w:t>
      </w:r>
      <w:r>
        <w:rPr>
          <w:rFonts w:hint="default" w:ascii="Times New Roman" w:hAnsi="Times New Roman" w:cs="Times New Roman"/>
          <w:color w:val="000000" w:themeColor="text1"/>
          <w:szCs w:val="32"/>
          <w:highlight w:val="none"/>
          <w14:textFill>
            <w14:solidFill>
              <w14:schemeClr w14:val="tx1"/>
            </w14:solidFill>
          </w14:textFill>
        </w:rPr>
        <w:t>，区域间竞争</w:t>
      </w:r>
      <w:r>
        <w:rPr>
          <w:rFonts w:hint="eastAsia" w:cs="Times New Roman"/>
          <w:color w:val="000000" w:themeColor="text1"/>
          <w:szCs w:val="32"/>
          <w:highlight w:val="none"/>
          <w:lang w:eastAsia="zh-CN"/>
          <w14:textFill>
            <w14:solidFill>
              <w14:schemeClr w14:val="tx1"/>
            </w14:solidFill>
          </w14:textFill>
        </w:rPr>
        <w:t>日趋激烈</w:t>
      </w:r>
      <w:r>
        <w:rPr>
          <w:rFonts w:hint="default" w:ascii="Times New Roman" w:hAnsi="Times New Roman" w:cs="Times New Roman"/>
          <w:color w:val="000000" w:themeColor="text1"/>
          <w:szCs w:val="32"/>
          <w:highlight w:val="none"/>
          <w14:textFill>
            <w14:solidFill>
              <w14:schemeClr w14:val="tx1"/>
            </w14:solidFill>
          </w14:textFill>
        </w:rPr>
        <w:t>，达拉特旗等地经济实力持续攀升，霍林郭勒、赤峰等地铝产业加速崛起，前有标兵、后有追兵。同时</w:t>
      </w:r>
      <w:r>
        <w:rPr>
          <w:rFonts w:hint="eastAsia" w:cs="Times New Roman"/>
          <w:color w:val="000000" w:themeColor="text1"/>
          <w:szCs w:val="32"/>
          <w:highlight w:val="none"/>
          <w:lang w:eastAsia="zh-CN"/>
          <w14:textFill>
            <w14:solidFill>
              <w14:schemeClr w14:val="tx1"/>
            </w14:solidFill>
          </w14:textFill>
        </w:rPr>
        <w:t>，呼和浩特</w:t>
      </w:r>
      <w:r>
        <w:rPr>
          <w:rFonts w:hint="default" w:ascii="Times New Roman" w:hAnsi="Times New Roman" w:cs="Times New Roman"/>
          <w:color w:val="000000" w:themeColor="text1"/>
          <w:szCs w:val="32"/>
          <w:highlight w:val="none"/>
          <w14:textFill>
            <w14:solidFill>
              <w14:schemeClr w14:val="tx1"/>
            </w14:solidFill>
          </w14:textFill>
        </w:rPr>
        <w:t>、鄂尔多斯以及</w:t>
      </w:r>
      <w:r>
        <w:rPr>
          <w:rFonts w:hint="eastAsia" w:ascii="Times New Roman" w:hAnsi="Times New Roman" w:cs="Times New Roman"/>
          <w:color w:val="000000" w:themeColor="text1"/>
          <w:szCs w:val="32"/>
          <w:highlight w:val="none"/>
          <w:lang w:val="en-US" w:eastAsia="zh-CN"/>
          <w14:textFill>
            <w14:solidFill>
              <w14:schemeClr w14:val="tx1"/>
            </w14:solidFill>
          </w14:textFill>
        </w:rPr>
        <w:t>我市其他</w:t>
      </w:r>
      <w:r>
        <w:rPr>
          <w:rFonts w:hint="default" w:ascii="Times New Roman" w:hAnsi="Times New Roman" w:cs="Times New Roman"/>
          <w:color w:val="000000" w:themeColor="text1"/>
          <w:szCs w:val="32"/>
          <w:highlight w:val="none"/>
          <w14:textFill>
            <w14:solidFill>
              <w14:schemeClr w14:val="tx1"/>
            </w14:solidFill>
          </w14:textFill>
        </w:rPr>
        <w:t>旗县区与我区在项目引育等方面竞争加大。</w:t>
      </w:r>
    </w:p>
    <w:p w14:paraId="0197DC9D">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从自身情况来看，</w:t>
      </w:r>
      <w:r>
        <w:rPr>
          <w:rFonts w:hint="default" w:ascii="Times New Roman" w:hAnsi="Times New Roman" w:cs="Times New Roman"/>
          <w:color w:val="000000" w:themeColor="text1"/>
          <w:szCs w:val="32"/>
          <w:highlight w:val="none"/>
          <w14:textFill>
            <w14:solidFill>
              <w14:schemeClr w14:val="tx1"/>
            </w14:solidFill>
          </w14:textFill>
        </w:rPr>
        <w:t>铝产业转型升级缓慢，产业链条短，高端产品少，高纯铝应用缺少光箔、腐蚀箔和电容器等环节，工业型材也缺少结构件、铝膜板等生产企业，下游门窗、幕墙、采光顶、装饰品等铝产品基本为空白。生产性服务配套能力不足，缺乏配套产业、技术服务、物流仓储和市场交易平台，企业需跨区域解决相关需求。农牧业规模化、精细化、品牌化水平不高，产业附加值不高，迫切需要推动产业换绿换新、全方位转型升级。同时，水、地、能等要素保障瓶颈性制约已凸显，科技创新投入不足。此外，教育、医疗等公共服务领域供给不足、资源不均衡，城区综合治理体系不完善等严重考验城市治理能力。人口总量呈现下降趋势，人口老龄化、少子化也带来新</w:t>
      </w:r>
      <w:r>
        <w:rPr>
          <w:rFonts w:hint="eastAsia" w:ascii="Times New Roman" w:hAnsi="Times New Roman" w:cs="Times New Roman"/>
          <w:color w:val="000000" w:themeColor="text1"/>
          <w:szCs w:val="32"/>
          <w:highlight w:val="none"/>
          <w:lang w:val="en-US" w:eastAsia="zh-CN"/>
          <w14:textFill>
            <w14:solidFill>
              <w14:schemeClr w14:val="tx1"/>
            </w14:solidFill>
          </w14:textFill>
        </w:rPr>
        <w:t>的</w:t>
      </w:r>
      <w:r>
        <w:rPr>
          <w:rFonts w:hint="default" w:ascii="Times New Roman" w:hAnsi="Times New Roman" w:cs="Times New Roman"/>
          <w:color w:val="000000" w:themeColor="text1"/>
          <w:szCs w:val="32"/>
          <w:highlight w:val="none"/>
          <w14:textFill>
            <w14:solidFill>
              <w14:schemeClr w14:val="tx1"/>
            </w14:solidFill>
          </w14:textFill>
        </w:rPr>
        <w:t xml:space="preserve">挑战。 </w:t>
      </w:r>
    </w:p>
    <w:p w14:paraId="5690A3AA">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综合判断，</w:t>
      </w:r>
      <w:r>
        <w:rPr>
          <w:rFonts w:hint="default" w:ascii="Times New Roman" w:hAnsi="Times New Roman" w:cs="Times New Roman"/>
          <w:color w:val="000000" w:themeColor="text1"/>
          <w:szCs w:val="32"/>
          <w:highlight w:val="none"/>
          <w14:textFill>
            <w14:solidFill>
              <w14:schemeClr w14:val="tx1"/>
            </w14:solidFill>
          </w14:textFill>
        </w:rPr>
        <w:t>“十五五”时期，</w:t>
      </w:r>
      <w:r>
        <w:rPr>
          <w:rFonts w:hint="eastAsia" w:ascii="Times New Roman" w:hAnsi="Times New Roman" w:cs="Times New Roman"/>
          <w:color w:val="000000" w:themeColor="text1"/>
          <w:szCs w:val="32"/>
          <w:highlight w:val="none"/>
          <w:lang w:val="en-US" w:eastAsia="zh-CN"/>
          <w14:textFill>
            <w14:solidFill>
              <w14:schemeClr w14:val="tx1"/>
            </w14:solidFill>
          </w14:textFill>
        </w:rPr>
        <w:t>我</w:t>
      </w:r>
      <w:r>
        <w:rPr>
          <w:rFonts w:hint="default" w:ascii="Times New Roman" w:hAnsi="Times New Roman" w:cs="Times New Roman"/>
          <w:color w:val="000000" w:themeColor="text1"/>
          <w:szCs w:val="32"/>
          <w:highlight w:val="none"/>
          <w14:textFill>
            <w14:solidFill>
              <w14:schemeClr w14:val="tx1"/>
            </w14:solidFill>
          </w14:textFill>
        </w:rPr>
        <w:t>区发展面临的问题挑战非常严峻，但外部环境变化总体有利于老工业基地转型发展，仍将处于重要战略机遇期。办好东河的事，要增强问题意识和机遇意识，树立改革思维和系统思维，保持战略定力和坚定信念，发扬斗争精神和奉献精神，创新思路挖掘释放潜在优势，全面开启对标先进、追赶超越新篇章。</w:t>
      </w:r>
    </w:p>
    <w:p w14:paraId="7193631D">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p>
    <w:p w14:paraId="05E38548">
      <w:pPr>
        <w:spacing w:line="560" w:lineRule="exact"/>
        <w:ind w:firstLine="0" w:firstLineChars="0"/>
        <w:jc w:val="center"/>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6" w:name="_Toc14660"/>
      <w:r>
        <w:rPr>
          <w:rFonts w:hint="default" w:ascii="Times New Roman" w:hAnsi="Times New Roman" w:eastAsia="黑体" w:cs="Times New Roman"/>
          <w:color w:val="000000" w:themeColor="text1"/>
          <w:szCs w:val="32"/>
          <w:highlight w:val="none"/>
          <w14:textFill>
            <w14:solidFill>
              <w14:schemeClr w14:val="tx1"/>
            </w14:solidFill>
          </w14:textFill>
        </w:rPr>
        <w:t>第二章 发展思路</w:t>
      </w:r>
      <w:bookmarkEnd w:id="6"/>
    </w:p>
    <w:p w14:paraId="047CCA71">
      <w:pPr>
        <w:pStyle w:val="40"/>
        <w:numPr>
          <w:ilvl w:val="0"/>
          <w:numId w:val="0"/>
        </w:numPr>
        <w:spacing w:before="217" w:beforeLines="50" w:after="217" w:afterLines="50" w:line="560" w:lineRule="exact"/>
        <w:ind w:firstLine="643" w:firstLineChars="200"/>
        <w:jc w:val="both"/>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7" w:name="_Toc21011"/>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第一节 指导思想</w:t>
      </w:r>
      <w:bookmarkEnd w:id="7"/>
    </w:p>
    <w:p w14:paraId="426EF5C4">
      <w:pPr>
        <w:spacing w:line="560" w:lineRule="exact"/>
        <w:ind w:firstLine="640"/>
        <w:rPr>
          <w:rFonts w:hint="default" w:ascii="Times New Roman" w:hAnsi="Times New Roman" w:cs="Times New Roman"/>
          <w:strike/>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坚持马克思列宁主义、毛泽东思想、邓小平理论、“三个代表”重要思想、科学发展观，全面贯彻习近平新时代中国特色社会主义思想，深入贯彻党的二十大和二十届历次全会精神，深化落实习近平总书记对内蒙古系列重要讲话重要指示精神，以铸牢中</w:t>
      </w:r>
      <w:r>
        <w:rPr>
          <w:rFonts w:hint="default" w:ascii="Times New Roman" w:hAnsi="Times New Roman" w:cs="Times New Roman"/>
          <w:szCs w:val="32"/>
          <w:highlight w:val="none"/>
        </w:rPr>
        <w:t>华民族共同体意识为主线，按照自治区党委“1571”工作部署，统筹推进“五位一体”总体布局，协调推进“四个全面”战略布局，完整准确全面贯彻新发展理念，积极融入和服务构建新发展格局。坚持稳</w:t>
      </w:r>
      <w:r>
        <w:rPr>
          <w:rFonts w:hint="default" w:ascii="Times New Roman" w:hAnsi="Times New Roman" w:cs="Times New Roman"/>
          <w:color w:val="000000" w:themeColor="text1"/>
          <w:szCs w:val="32"/>
          <w:highlight w:val="none"/>
          <w14:textFill>
            <w14:solidFill>
              <w14:schemeClr w14:val="tx1"/>
            </w14:solidFill>
          </w14:textFill>
        </w:rPr>
        <w:t>中求进工作总基调，坚持以经济建设为中心，以推动高质量发展为主题，以改革创新为根本动力，以满足人民日益增长的美好生活需要为根本目的，以全面从严治党为根本保障，统筹绿色转型、创新突围、融通开放，加快建设老工业基地转型发展示范区、精品农业样板区、老城更新示范区、烟火生活和文旅休闲体验地，在全市</w:t>
      </w:r>
      <w:r>
        <w:rPr>
          <w:rFonts w:hint="eastAsia" w:cs="Times New Roman"/>
          <w:color w:val="000000" w:themeColor="text1"/>
          <w:szCs w:val="32"/>
          <w:highlight w:val="none"/>
          <w:lang w:eastAsia="zh-CN"/>
          <w14:textFill>
            <w14:solidFill>
              <w14:schemeClr w14:val="tx1"/>
            </w14:solidFill>
          </w14:textFill>
        </w:rPr>
        <w:t>和</w:t>
      </w:r>
      <w:r>
        <w:rPr>
          <w:rFonts w:hint="default" w:ascii="Times New Roman" w:hAnsi="Times New Roman" w:cs="Times New Roman"/>
          <w:color w:val="000000" w:themeColor="text1"/>
          <w:szCs w:val="32"/>
          <w:highlight w:val="none"/>
          <w14:textFill>
            <w14:solidFill>
              <w14:schemeClr w14:val="tx1"/>
            </w14:solidFill>
          </w14:textFill>
        </w:rPr>
        <w:t>全区高质量发展中展现更多担当，推动经济实现质的有效提升和量的合理增长，推动人的全面发展、</w:t>
      </w:r>
      <w:r>
        <w:rPr>
          <w:rFonts w:hint="eastAsia" w:cs="Times New Roman"/>
          <w:color w:val="000000" w:themeColor="text1"/>
          <w:szCs w:val="32"/>
          <w:highlight w:val="none"/>
          <w:lang w:eastAsia="zh-CN"/>
          <w14:textFill>
            <w14:solidFill>
              <w14:schemeClr w14:val="tx1"/>
            </w14:solidFill>
          </w14:textFill>
        </w:rPr>
        <w:t>各族人民</w:t>
      </w:r>
      <w:r>
        <w:rPr>
          <w:rFonts w:hint="default" w:ascii="Times New Roman" w:hAnsi="Times New Roman" w:cs="Times New Roman"/>
          <w:color w:val="000000" w:themeColor="text1"/>
          <w:szCs w:val="32"/>
          <w:highlight w:val="none"/>
          <w14:textFill>
            <w14:solidFill>
              <w14:schemeClr w14:val="tx1"/>
            </w14:solidFill>
          </w14:textFill>
        </w:rPr>
        <w:t>共同富裕迈出坚实步伐，确保在基本实现社会主义现代化上取得决定性进展，不断书写中国式现代化东河新篇章。</w:t>
      </w:r>
    </w:p>
    <w:p w14:paraId="35D73A31">
      <w:pPr>
        <w:spacing w:before="217" w:beforeLines="50" w:after="217" w:afterLines="50" w:line="560" w:lineRule="exact"/>
        <w:ind w:firstLine="643"/>
        <w:outlineLvl w:val="0"/>
        <w:rPr>
          <w:rFonts w:hint="default" w:ascii="Times New Roman" w:hAnsi="Times New Roman" w:eastAsia="黑体" w:cs="Times New Roman"/>
          <w:b/>
          <w:bCs/>
          <w:color w:val="000000" w:themeColor="text1"/>
          <w:szCs w:val="32"/>
          <w:highlight w:val="none"/>
          <w14:textFill>
            <w14:solidFill>
              <w14:schemeClr w14:val="tx1"/>
            </w14:solidFill>
          </w14:textFill>
        </w:rPr>
      </w:pPr>
      <w:bookmarkStart w:id="8" w:name="_Toc21342"/>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第二节 基本原则</w:t>
      </w:r>
      <w:bookmarkEnd w:id="8"/>
    </w:p>
    <w:p w14:paraId="1CE04969">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kern w:val="0"/>
          <w:szCs w:val="32"/>
          <w:highlight w:val="none"/>
          <w14:textFill>
            <w14:solidFill>
              <w14:schemeClr w14:val="tx1"/>
            </w14:solidFill>
          </w14:textFill>
        </w:rPr>
        <w:t>——坚持党的全面领导。</w:t>
      </w:r>
      <w:r>
        <w:rPr>
          <w:rFonts w:hint="default" w:ascii="Times New Roman" w:hAnsi="Times New Roman" w:cs="Times New Roman"/>
          <w:color w:val="000000" w:themeColor="text1"/>
          <w:szCs w:val="32"/>
          <w:highlight w:val="none"/>
          <w14:textFill>
            <w14:solidFill>
              <w14:schemeClr w14:val="tx1"/>
            </w14:solidFill>
          </w14:textFill>
        </w:rPr>
        <w:t>把党的全面领导作为做好工作</w:t>
      </w:r>
      <w:r>
        <w:rPr>
          <w:rFonts w:hint="default" w:ascii="Times New Roman" w:hAnsi="Times New Roman" w:cs="Times New Roman"/>
          <w:szCs w:val="32"/>
          <w:highlight w:val="none"/>
        </w:rPr>
        <w:t>的根本保证，坚持和完善党领导经济社会发展的体制机制，坚持和完善中国特色社会主义制度，全面贯彻习近平新时代中国特色社会主义思想，深化落实习近平总书记对内蒙古系列重要讲话重要指示精神，不断提高贯彻新发展理念的能力，为实现高质量发展提供根本保障。</w:t>
      </w:r>
    </w:p>
    <w:p w14:paraId="636D124A">
      <w:pPr>
        <w:spacing w:line="560" w:lineRule="exact"/>
        <w:ind w:firstLine="643"/>
        <w:rPr>
          <w:rFonts w:hint="default" w:ascii="Times New Roman" w:hAnsi="Times New Roman" w:cs="Times New Roman"/>
          <w:b/>
          <w:bCs/>
          <w:color w:val="000000" w:themeColor="text1"/>
          <w:kern w:val="0"/>
          <w:szCs w:val="32"/>
          <w:highlight w:val="none"/>
          <w14:textFill>
            <w14:solidFill>
              <w14:schemeClr w14:val="tx1"/>
            </w14:solidFill>
          </w14:textFill>
        </w:rPr>
      </w:pPr>
      <w:r>
        <w:rPr>
          <w:rFonts w:hint="default" w:ascii="Times New Roman" w:hAnsi="Times New Roman" w:eastAsia="楷体_GB2312" w:cs="Times New Roman"/>
          <w:b/>
          <w:bCs/>
          <w:color w:val="000000" w:themeColor="text1"/>
          <w:kern w:val="0"/>
          <w:szCs w:val="32"/>
          <w:highlight w:val="none"/>
          <w14:textFill>
            <w14:solidFill>
              <w14:schemeClr w14:val="tx1"/>
            </w14:solidFill>
          </w14:textFill>
        </w:rPr>
        <w:t>——坚持人民至上。</w:t>
      </w:r>
      <w:r>
        <w:rPr>
          <w:rFonts w:hint="default" w:ascii="Times New Roman" w:hAnsi="Times New Roman" w:cs="Times New Roman"/>
          <w:color w:val="000000" w:themeColor="text1"/>
          <w:szCs w:val="32"/>
          <w:highlight w:val="none"/>
          <w14:textFill>
            <w14:solidFill>
              <w14:schemeClr w14:val="tx1"/>
            </w14:solidFill>
          </w14:textFill>
        </w:rPr>
        <w:t>维护人民根本利益，促进社会公平正义，注重在发展中保障和改善民生，在满足民生需求中拓展发展空间，推动经济和社会协调发展、物质文明和精神文明相得益彰，让现代化建设成果更多更公平惠及全体人民。</w:t>
      </w:r>
    </w:p>
    <w:p w14:paraId="6A639638">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kern w:val="0"/>
          <w:szCs w:val="32"/>
          <w:highlight w:val="none"/>
          <w14:textFill>
            <w14:solidFill>
              <w14:schemeClr w14:val="tx1"/>
            </w14:solidFill>
          </w14:textFill>
        </w:rPr>
        <w:t>——坚持推动高质量发展。</w:t>
      </w:r>
      <w:r>
        <w:rPr>
          <w:rFonts w:hint="default" w:ascii="Times New Roman" w:hAnsi="Times New Roman" w:cs="Times New Roman"/>
          <w:color w:val="000000" w:themeColor="text1"/>
          <w:szCs w:val="32"/>
          <w:highlight w:val="none"/>
          <w14:textFill>
            <w14:solidFill>
              <w14:schemeClr w14:val="tx1"/>
            </w14:solidFill>
          </w14:textFill>
        </w:rPr>
        <w:t>紧扣经济社会发展的各项目标，以新发展理念为引领，因地制宜发展新质生产力，积极融入和服务国内国际双循环，统筹扩大内需和深化供给侧结构性改革，加快培育新动能，促进经济结构优化升级，做优增量、盘活存量，推动经济持续健康发展和社会全面进步。</w:t>
      </w:r>
    </w:p>
    <w:p w14:paraId="0986CD6C">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kern w:val="0"/>
          <w:szCs w:val="32"/>
          <w:highlight w:val="none"/>
          <w14:textFill>
            <w14:solidFill>
              <w14:schemeClr w14:val="tx1"/>
            </w14:solidFill>
          </w14:textFill>
        </w:rPr>
        <w:t>——坚持深化改革开放。</w:t>
      </w:r>
      <w:r>
        <w:rPr>
          <w:rFonts w:hint="default" w:ascii="Times New Roman" w:hAnsi="Times New Roman" w:cs="Times New Roman"/>
          <w:color w:val="000000" w:themeColor="text1"/>
          <w:szCs w:val="32"/>
          <w:highlight w:val="none"/>
          <w14:textFill>
            <w14:solidFill>
              <w14:schemeClr w14:val="tx1"/>
            </w14:solidFill>
          </w14:textFill>
        </w:rPr>
        <w:t>聚焦破解制约高质量发展的体制机制障碍，全面深化各领域改革，扩大高水平开放，促进土地、劳动力、资本、数据等各类要素畅通流动和高效配置，着力打造一流营商环境，持续增强发展动力和社会活力。</w:t>
      </w:r>
    </w:p>
    <w:p w14:paraId="13834B01">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kern w:val="0"/>
          <w:szCs w:val="32"/>
          <w:highlight w:val="none"/>
          <w14:textFill>
            <w14:solidFill>
              <w14:schemeClr w14:val="tx1"/>
            </w14:solidFill>
          </w14:textFill>
        </w:rPr>
        <w:t>——坚持有效市场和有为政府相结合。</w:t>
      </w:r>
      <w:r>
        <w:rPr>
          <w:rFonts w:hint="default" w:ascii="Times New Roman" w:hAnsi="Times New Roman" w:cs="Times New Roman"/>
          <w:color w:val="000000" w:themeColor="text1"/>
          <w:szCs w:val="32"/>
          <w:highlight w:val="none"/>
          <w14:textFill>
            <w14:solidFill>
              <w14:schemeClr w14:val="tx1"/>
            </w14:solidFill>
          </w14:textFill>
        </w:rPr>
        <w:t>充分发挥市场在资源配置中的决定性作用，更好发挥政府作用，构建统一、开放、竞争、有序的市场体系，转变政府职能，保障公平竞争，建设法治经济、信用经济，促进有效市场和有为政府协同发力，形成既“放得活”又“管得好”的经济秩序。</w:t>
      </w:r>
    </w:p>
    <w:p w14:paraId="2EE123A1">
      <w:pPr>
        <w:spacing w:line="560" w:lineRule="exact"/>
        <w:ind w:firstLine="643"/>
        <w:rPr>
          <w:rFonts w:hint="default" w:ascii="Times New Roman" w:hAnsi="Times New Roman" w:cs="Times New Roman"/>
          <w:color w:val="000000" w:themeColor="text1"/>
          <w:kern w:val="0"/>
          <w:szCs w:val="32"/>
          <w:highlight w:val="none"/>
          <w14:textFill>
            <w14:solidFill>
              <w14:schemeClr w14:val="tx1"/>
            </w14:solidFill>
          </w14:textFill>
        </w:rPr>
      </w:pPr>
      <w:r>
        <w:rPr>
          <w:rFonts w:hint="default" w:ascii="Times New Roman" w:hAnsi="Times New Roman" w:eastAsia="楷体_GB2312" w:cs="Times New Roman"/>
          <w:b/>
          <w:bCs/>
          <w:color w:val="000000" w:themeColor="text1"/>
          <w:kern w:val="0"/>
          <w:szCs w:val="32"/>
          <w:highlight w:val="none"/>
          <w14:textFill>
            <w14:solidFill>
              <w14:schemeClr w14:val="tx1"/>
            </w14:solidFill>
          </w14:textFill>
        </w:rPr>
        <w:t>——坚持统筹发展和安全。</w:t>
      </w:r>
      <w:r>
        <w:rPr>
          <w:rFonts w:hint="default" w:ascii="Times New Roman" w:hAnsi="Times New Roman" w:cs="Times New Roman"/>
          <w:color w:val="000000" w:themeColor="text1"/>
          <w:kern w:val="0"/>
          <w:szCs w:val="32"/>
          <w:highlight w:val="none"/>
          <w14:textFill>
            <w14:solidFill>
              <w14:schemeClr w14:val="tx1"/>
            </w14:solidFill>
          </w14:textFill>
        </w:rPr>
        <w:t>在发展中固安全，在安全中谋发展，强化底线思维，有效防范化解各类风险，增强经济和社会韧性，以新安全格局保障新发展格局。</w:t>
      </w:r>
    </w:p>
    <w:p w14:paraId="0E20AF28">
      <w:pPr>
        <w:spacing w:before="217" w:beforeLines="50" w:after="217" w:afterLines="50" w:line="560" w:lineRule="exact"/>
        <w:ind w:firstLine="643"/>
        <w:outlineLvl w:val="0"/>
        <w:rPr>
          <w:rFonts w:hint="default" w:ascii="Times New Roman" w:hAnsi="Times New Roman" w:eastAsia="黑体" w:cs="Times New Roman"/>
          <w:b/>
          <w:bCs/>
          <w:color w:val="000000" w:themeColor="text1"/>
          <w:kern w:val="0"/>
          <w:szCs w:val="32"/>
          <w:highlight w:val="none"/>
          <w14:textFill>
            <w14:solidFill>
              <w14:schemeClr w14:val="tx1"/>
            </w14:solidFill>
          </w14:textFill>
        </w:rPr>
      </w:pPr>
      <w:bookmarkStart w:id="9" w:name="_Toc1479"/>
      <w:r>
        <w:rPr>
          <w:rFonts w:hint="default" w:ascii="Times New Roman" w:hAnsi="Times New Roman" w:eastAsia="方正楷体_GBK" w:cs="Times New Roman"/>
          <w:b/>
          <w:bCs/>
          <w:color w:val="000000" w:themeColor="text1"/>
          <w:kern w:val="0"/>
          <w:szCs w:val="32"/>
          <w:highlight w:val="none"/>
          <w14:textFill>
            <w14:solidFill>
              <w14:schemeClr w14:val="tx1"/>
            </w14:solidFill>
          </w14:textFill>
        </w:rPr>
        <w:t>第三节 战略定位</w:t>
      </w:r>
      <w:bookmarkEnd w:id="9"/>
    </w:p>
    <w:p w14:paraId="16EC58F1">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今后五年要突出目标导向与问题导向相结合，中长期目标与短期目标相贯通，尽力而为与量力而行相统一，继承发扬过去几个五年发展成果，辩证应对当前及未来重大变化，保持“吃苦耐劳”的韧劲、鼓足“一往无前”的闯劲、拿出“不达目的决不罢休”的狠劲，在“全国找坐标、全区走前头、全市进前列”，强化“转”的决心，以改革创新思维扬优势、补短板、强弱项，以比评赶超姿态谋发展、抓落实、提势能，全力打造老工业基地转型发展示范区、精品农业样板区、老城更新示范区、烟火生活和文旅休闲体验地。</w:t>
      </w:r>
    </w:p>
    <w:p w14:paraId="041CCD00">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——全力打造老工业基地转型发展示范区。</w:t>
      </w:r>
      <w:r>
        <w:rPr>
          <w:rFonts w:hint="default" w:ascii="Times New Roman" w:hAnsi="Times New Roman" w:cs="Times New Roman"/>
          <w:color w:val="000000" w:themeColor="text1"/>
          <w:szCs w:val="32"/>
          <w:highlight w:val="none"/>
          <w14:textFill>
            <w14:solidFill>
              <w14:schemeClr w14:val="tx1"/>
            </w14:solidFill>
          </w14:textFill>
        </w:rPr>
        <w:t>坚持以生态优先、绿色发展为导向，以发展新质生产力为引领，紧紧围绕落实碳达峰要求，深入实施创新驱动发展战略，深化推进绿色低碳行动，全力打造北方重要的绿色铝加工基地，加快布局战略性新兴产业、未来产业，培育壮大生态经济、数字经济、枢纽经济、创新经济，努力在增强发展“含绿量”“含新量”上实现新跃升，唱响老工业基地绿色转型、创新发展的主旋律，努力创造老工业基地焕绿焕新发展的“东河模式”。</w:t>
      </w:r>
    </w:p>
    <w:p w14:paraId="5FF13C5C">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——全力打造精品农业样板区</w:t>
      </w:r>
      <w:r>
        <w:rPr>
          <w:rFonts w:hint="default" w:ascii="Times New Roman" w:hAnsi="Times New Roman" w:cs="Times New Roman"/>
          <w:b/>
          <w:bCs/>
          <w:color w:val="000000" w:themeColor="text1"/>
          <w:szCs w:val="32"/>
          <w:highlight w:val="none"/>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以带动农民增收致富为根本导向，立足城郊型农业定位，持续优化“三沿三带”产业布局，加快设施农业提质增效、特色林果品牌化发展、农文旅深度融合，构建集绿色生产、生态涵养、休闲体验于一体的城市农业体系，塑造“健康安全新鲜城郊菜园”区域IP，建设特色蔬菜小镇，打造自治区最大设施农业发展集聚区和育苗基地，创建以蔬菜为主导的现代农业产业园。</w:t>
      </w:r>
    </w:p>
    <w:p w14:paraId="44A57A93">
      <w:pPr>
        <w:spacing w:line="560" w:lineRule="exact"/>
        <w:ind w:firstLine="643"/>
        <w:rPr>
          <w:rFonts w:hint="default" w:ascii="Times New Roman" w:hAnsi="Times New Roman" w:eastAsia="楷体_GB2312" w:cs="Times New Roman"/>
          <w:b/>
          <w:bCs/>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——全力打造老城更新示范区。</w:t>
      </w:r>
      <w:r>
        <w:rPr>
          <w:rFonts w:hint="default" w:ascii="Times New Roman" w:hAnsi="Times New Roman" w:cs="Times New Roman"/>
          <w:color w:val="000000" w:themeColor="text1"/>
          <w:szCs w:val="32"/>
          <w:highlight w:val="none"/>
          <w14:textFill>
            <w14:solidFill>
              <w14:schemeClr w14:val="tx1"/>
            </w14:solidFill>
          </w14:textFill>
        </w:rPr>
        <w:t>以城市更新为抓手，立足“包头根脉”历史底蕴，统筹城区与乡村建设，坚持先急后缓、尽力而为、量力而行，协同推进北梁腾空区、中心城区、南部区发展，全力破解配套设施、危旧房改造、老旧小区改造、防治城市内涝、改善地下管网等领域突出问题，深化城市安全生命线工程建设，系统推进生产、生活、生态、文化、安全等多维度提质增效，打造生态型城区、节约型城区和低碳型城区，建设</w:t>
      </w:r>
      <w:r>
        <w:rPr>
          <w:rFonts w:hint="eastAsia" w:cs="Times New Roman"/>
          <w:color w:val="000000" w:themeColor="text1"/>
          <w:szCs w:val="32"/>
          <w:highlight w:val="none"/>
          <w:lang w:eastAsia="zh-CN"/>
          <w14:textFill>
            <w14:solidFill>
              <w14:schemeClr w14:val="tx1"/>
            </w14:solidFill>
          </w14:textFill>
        </w:rPr>
        <w:t>创新、宜居、美丽、韧性、文明、智慧的现代化人民城市</w:t>
      </w:r>
      <w:r>
        <w:rPr>
          <w:rFonts w:hint="default" w:ascii="Times New Roman" w:hAnsi="Times New Roman" w:cs="Times New Roman"/>
          <w:color w:val="000000" w:themeColor="text1"/>
          <w:szCs w:val="32"/>
          <w:highlight w:val="none"/>
          <w14:textFill>
            <w14:solidFill>
              <w14:schemeClr w14:val="tx1"/>
            </w14:solidFill>
          </w14:textFill>
        </w:rPr>
        <w:t>。持续提升区域功能和完善发展能级，全面夯实教育、健康、文化、体育、养老等公共服务设施，持续扩大社会保障覆盖面，建设东河会客厅，创建有记忆、有品质、有活力的美好生活示范区，实现以城引人、以境聚人、以业留人，让东河区成为闻者向往、来者依恋、居者自豪之城。</w:t>
      </w:r>
    </w:p>
    <w:p w14:paraId="1B5C3B7C">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——全力打造烟火生活和文旅休闲体验地。</w:t>
      </w:r>
      <w:r>
        <w:rPr>
          <w:rFonts w:hint="default" w:ascii="Times New Roman" w:hAnsi="Times New Roman" w:cs="Times New Roman"/>
          <w:color w:val="000000" w:themeColor="text1"/>
          <w:szCs w:val="32"/>
          <w:highlight w:val="none"/>
          <w14:textFill>
            <w14:solidFill>
              <w14:schemeClr w14:val="tx1"/>
            </w14:solidFill>
          </w14:textFill>
        </w:rPr>
        <w:t>推动传统商业向体验引领、场景驱动、服务增值</w:t>
      </w:r>
      <w:r>
        <w:rPr>
          <w:rFonts w:hint="eastAsia" w:cs="Times New Roman"/>
          <w:color w:val="000000" w:themeColor="text1"/>
          <w:szCs w:val="32"/>
          <w:highlight w:val="none"/>
          <w:lang w:eastAsia="zh-CN"/>
          <w14:textFill>
            <w14:solidFill>
              <w14:schemeClr w14:val="tx1"/>
            </w14:solidFill>
          </w14:textFill>
        </w:rPr>
        <w:t>的现代</w:t>
      </w:r>
      <w:r>
        <w:rPr>
          <w:rFonts w:hint="default" w:ascii="Times New Roman" w:hAnsi="Times New Roman" w:cs="Times New Roman"/>
          <w:color w:val="000000" w:themeColor="text1"/>
          <w:szCs w:val="32"/>
          <w:highlight w:val="none"/>
          <w14:textFill>
            <w14:solidFill>
              <w14:schemeClr w14:val="tx1"/>
            </w14:solidFill>
          </w14:textFill>
        </w:rPr>
        <w:t>流通体系转型，建设多场景区域消费中心，增强四大商贸集聚区服务功能和七大专业批发市场辐射能力，形成覆盖内蒙古西部的服装、图书、小商品批发枢纽和绿色粮油食品、新型绿色建材集散中心。擦亮“吃在东河”品牌影响力，打造“烟火东河</w:t>
      </w:r>
      <w:r>
        <w:rPr>
          <w:rFonts w:hint="eastAsia"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百姓生活”消费名片，推动文化、旅游在功能、业态上深度融合，系统保护</w:t>
      </w:r>
      <w:r>
        <w:rPr>
          <w:rFonts w:hint="eastAsia" w:cs="Times New Roman"/>
          <w:color w:val="000000" w:themeColor="text1"/>
          <w:szCs w:val="32"/>
          <w:highlight w:val="none"/>
          <w:lang w:eastAsia="zh-CN"/>
          <w14:textFill>
            <w14:solidFill>
              <w14:schemeClr w14:val="tx1"/>
            </w14:solidFill>
          </w14:textFill>
        </w:rPr>
        <w:t>、挖掘</w:t>
      </w:r>
      <w:r>
        <w:rPr>
          <w:rFonts w:hint="default" w:ascii="Times New Roman" w:hAnsi="Times New Roman" w:cs="Times New Roman"/>
          <w:color w:val="000000" w:themeColor="text1"/>
          <w:szCs w:val="32"/>
          <w:highlight w:val="none"/>
          <w14:textFill>
            <w14:solidFill>
              <w14:schemeClr w14:val="tx1"/>
            </w14:solidFill>
          </w14:textFill>
        </w:rPr>
        <w:t>和活化利用老包头历史文化资源，升级“红色文旅”“绿色农旅”“金色商旅”等旅游线路，打造具有辨识度</w:t>
      </w:r>
      <w:r>
        <w:rPr>
          <w:rFonts w:hint="eastAsia" w:cs="Times New Roman"/>
          <w:color w:val="000000" w:themeColor="text1"/>
          <w:szCs w:val="32"/>
          <w:highlight w:val="none"/>
          <w:lang w:eastAsia="zh-CN"/>
          <w14:textFill>
            <w14:solidFill>
              <w14:schemeClr w14:val="tx1"/>
            </w14:solidFill>
          </w14:textFill>
        </w:rPr>
        <w:t>的文</w:t>
      </w:r>
      <w:r>
        <w:rPr>
          <w:rFonts w:hint="default" w:ascii="Times New Roman" w:hAnsi="Times New Roman" w:cs="Times New Roman"/>
          <w:color w:val="000000" w:themeColor="text1"/>
          <w:szCs w:val="32"/>
          <w:highlight w:val="none"/>
          <w14:textFill>
            <w14:solidFill>
              <w14:schemeClr w14:val="tx1"/>
            </w14:solidFill>
          </w14:textFill>
        </w:rPr>
        <w:t>旅IP，破解“有过境无过夜、有流量无留量、有人气无消费”现实困境，建设“近悦远来”的老包头文化与烟火生活体验区。</w:t>
      </w:r>
    </w:p>
    <w:p w14:paraId="3C62D4F8">
      <w:pPr>
        <w:spacing w:before="217" w:beforeLines="50" w:after="217" w:afterLines="50" w:line="560" w:lineRule="exact"/>
        <w:ind w:firstLine="643"/>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10" w:name="_Toc16225"/>
      <w:r>
        <w:rPr>
          <w:rFonts w:hint="default" w:ascii="Times New Roman" w:hAnsi="Times New Roman" w:eastAsia="方正楷体_GBK" w:cs="Times New Roman"/>
          <w:b/>
          <w:bCs/>
          <w:color w:val="000000" w:themeColor="text1"/>
          <w:szCs w:val="32"/>
          <w:highlight w:val="none"/>
          <w14:textFill>
            <w14:solidFill>
              <w14:schemeClr w14:val="tx1"/>
            </w14:solidFill>
          </w14:textFill>
        </w:rPr>
        <w:t>第四节 发展目标</w:t>
      </w:r>
      <w:bookmarkEnd w:id="10"/>
    </w:p>
    <w:p w14:paraId="36910E87">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到2027年</w:t>
      </w:r>
      <w:r>
        <w:rPr>
          <w:rFonts w:hint="eastAsia" w:cs="Times New Roman"/>
          <w:color w:val="000000" w:themeColor="text1"/>
          <w:szCs w:val="32"/>
          <w:highlight w:val="none"/>
          <w:lang w:eastAsia="zh-CN"/>
          <w14:textFill>
            <w14:solidFill>
              <w14:schemeClr w14:val="tx1"/>
            </w14:solidFill>
          </w14:textFill>
        </w:rPr>
        <w:t>，即自治区</w:t>
      </w:r>
      <w:r>
        <w:rPr>
          <w:rFonts w:hint="default" w:ascii="Times New Roman" w:hAnsi="Times New Roman" w:cs="Times New Roman"/>
          <w:color w:val="000000" w:themeColor="text1"/>
          <w:szCs w:val="32"/>
          <w:highlight w:val="none"/>
          <w14:textFill>
            <w14:solidFill>
              <w14:schemeClr w14:val="tx1"/>
            </w14:solidFill>
          </w14:textFill>
        </w:rPr>
        <w:t>成立八十周年，综合经济实力持续增强，产业转型步伐全面加快，城市内涵式发展取得突破性进展，生态环境质量稳步向好，社会大局保持和谐安定。</w:t>
      </w:r>
    </w:p>
    <w:p w14:paraId="75E7221D">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到2030年，在全面完成“十五五”规划目标基础上，基本建成老工业基地转型发展示范区、精品农业样板区、老城更新示范区、烟火生活和文旅休闲体验地。</w:t>
      </w:r>
    </w:p>
    <w:p w14:paraId="3F14A0E8">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到2035年，综合实力与科技创新能力大幅提升，建成彰显地域特色和竞争力的现代化产业体系，城乡发展更趋协调，生态环境质量明显改善，人民生活品质不断提高，治理能力现代化建设取得显著成效，与全国同步基本实现社会主义现代化。</w:t>
      </w:r>
    </w:p>
    <w:p w14:paraId="156DAD30">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综合考虑衔接2027年阶段性任务与2035年远景目标，“十五五”时期要重点实现以下目标：</w:t>
      </w:r>
    </w:p>
    <w:p w14:paraId="2B99DA2A">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——推进中华民族共同体建设迈上新台阶。</w:t>
      </w:r>
      <w:r>
        <w:rPr>
          <w:rFonts w:hint="default" w:ascii="Times New Roman" w:hAnsi="Times New Roman" w:cs="Times New Roman"/>
          <w:color w:val="000000" w:themeColor="text1"/>
          <w:szCs w:val="32"/>
          <w:highlight w:val="none"/>
          <w14:textFill>
            <w14:solidFill>
              <w14:schemeClr w14:val="tx1"/>
            </w14:solidFill>
          </w14:textFill>
        </w:rPr>
        <w:t>相关工作体系更加系统完善，责任机制层层压实、高效运转，示范点位和研学线路的优化升级与新建打造工作扎实推进、成果突出，中华民族共同体思想根基持续夯实，各民族交往交流交融深度拓展，共同团结奋斗、共同繁荣发展的局面更加巩固，和谐稳定、同心同德的社会氛围日益浓厚，为全区现代化建设广泛凝聚智慧与力量。</w:t>
      </w:r>
    </w:p>
    <w:p w14:paraId="48533AEC">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——高质量发展取得新成效。</w:t>
      </w:r>
      <w:r>
        <w:rPr>
          <w:rFonts w:hint="default" w:ascii="Times New Roman" w:hAnsi="Times New Roman" w:cs="Times New Roman"/>
          <w:color w:val="000000" w:themeColor="text1"/>
          <w:szCs w:val="32"/>
          <w:highlight w:val="none"/>
          <w14:textFill>
            <w14:solidFill>
              <w14:schemeClr w14:val="tx1"/>
            </w14:solidFill>
          </w14:textFill>
        </w:rPr>
        <w:t>主要经济指标保持</w:t>
      </w:r>
      <w:r>
        <w:rPr>
          <w:rFonts w:hint="eastAsia" w:ascii="Times New Roman" w:hAnsi="Times New Roman" w:cs="Times New Roman"/>
          <w:color w:val="000000" w:themeColor="text1"/>
          <w:szCs w:val="32"/>
          <w:highlight w:val="none"/>
          <w:lang w:val="en-US" w:eastAsia="zh-CN"/>
          <w14:textFill>
            <w14:solidFill>
              <w14:schemeClr w14:val="tx1"/>
            </w14:solidFill>
          </w14:textFill>
        </w:rPr>
        <w:t>稳步</w:t>
      </w:r>
      <w:r>
        <w:rPr>
          <w:rFonts w:hint="default" w:ascii="Times New Roman" w:hAnsi="Times New Roman" w:cs="Times New Roman"/>
          <w:color w:val="000000" w:themeColor="text1"/>
          <w:szCs w:val="32"/>
          <w:highlight w:val="none"/>
          <w14:textFill>
            <w14:solidFill>
              <w14:schemeClr w14:val="tx1"/>
            </w14:solidFill>
          </w14:textFill>
        </w:rPr>
        <w:t>增长，占全市比重逐年提高，对区域高质量发展的支撑和贡献显著增强。产业结构更趋协调优化，产业配套能力全面提升，基本构建起特色鲜明、多元发展、多极支撑的现代化产业体系。科技创新引领作用更加凸显，研发投入力度不断加大，创新链与产业链深度融合，科技成果转化能力持续提高，新质生产力加快培育和形成。重点领域改革取得新突破，营商环境持续改善，高标准市场体系基本建成，市场主体活力充分释放。开放型经济水平迈上新台阶，利用外资规模不断扩大，外贸结构进一步优化，在区域协同发展中展现更大作为。</w:t>
      </w:r>
    </w:p>
    <w:p w14:paraId="3C085C62">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——生态文明建设取得新进步。</w:t>
      </w:r>
      <w:r>
        <w:rPr>
          <w:rFonts w:hint="default" w:ascii="Times New Roman" w:hAnsi="Times New Roman" w:cs="Times New Roman"/>
          <w:color w:val="000000" w:themeColor="text1"/>
          <w:szCs w:val="32"/>
          <w:highlight w:val="none"/>
          <w14:textFill>
            <w14:solidFill>
              <w14:schemeClr w14:val="tx1"/>
            </w14:solidFill>
          </w14:textFill>
        </w:rPr>
        <w:t>生态文明建设制度体系更加完备，降碳减污扩绿增长协同增效取得积极进展。能源结构向清洁低碳方向加速转型，碳达峰目标如期实现。大气、水、土壤环境质量整体改善，污染防治成果巩固拓展。生态系统稳定性进一步增强，生物多样性保护成效显著。资源节约集约利用水平跃升，能源、水、土地等要素配置更趋合理。生态产品价值实现机制更趋完善，生态产业发展实现重要突破。人居环境品质迈上新高度，绿色生活方式深入人心。</w:t>
      </w:r>
    </w:p>
    <w:p w14:paraId="27CCDD9D">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——人民生活品质持续提升。</w:t>
      </w:r>
      <w:r>
        <w:rPr>
          <w:rFonts w:hint="default" w:ascii="Times New Roman" w:hAnsi="Times New Roman" w:cs="Times New Roman"/>
          <w:color w:val="000000" w:themeColor="text1"/>
          <w:szCs w:val="32"/>
          <w:highlight w:val="none"/>
          <w14:textFill>
            <w14:solidFill>
              <w14:schemeClr w14:val="tx1"/>
            </w14:solidFill>
          </w14:textFill>
        </w:rPr>
        <w:t>居民收入增长与经济增长保持同步，实现更充分更高质量就业，多层次社会保障体系更趋完善。基本公共服务均衡性和可及性显著增强，教育、医疗、养老、育幼等服务体系全面优化。城乡基础设施承载能级整体跃升，交通、能源、水利等网络体系更加安全可靠。现代公共文化服务体系持续健全，市民思想道德素质、科学文化素质、健康素质进一步增强，共同富裕迈出坚实步伐。</w:t>
      </w:r>
    </w:p>
    <w:p w14:paraId="795EAAD8">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——社会治理效能大幅提升。</w:t>
      </w:r>
      <w:r>
        <w:rPr>
          <w:rFonts w:hint="default" w:ascii="Times New Roman" w:hAnsi="Times New Roman" w:cs="Times New Roman"/>
          <w:color w:val="000000" w:themeColor="text1"/>
          <w:szCs w:val="32"/>
          <w:highlight w:val="none"/>
          <w14:textFill>
            <w14:solidFill>
              <w14:schemeClr w14:val="tx1"/>
            </w14:solidFill>
          </w14:textFill>
        </w:rPr>
        <w:t>社会主义民主法治更加健全，政府行政效率和公信力显著增强。基层治理体系持续优化，共建共治共享的社会治理格局基本形成。重大风险防范化解体制机制不断完善，突发公共事件应急处置能力全面增强，自然灾害防御水平明显提高，社会治安环境持续向好，发展和安全统筹更加有力，高效能治理取得实质性突破。</w:t>
      </w:r>
    </w:p>
    <w:p w14:paraId="3FCD265E">
      <w:pPr>
        <w:ind w:firstLine="562"/>
        <w:rPr>
          <w:rFonts w:hint="default" w:ascii="Times New Roman" w:hAnsi="Times New Roman" w:eastAsia="黑体" w:cs="Times New Roman"/>
          <w:b/>
          <w:bCs/>
          <w:color w:val="000000" w:themeColor="text1"/>
          <w:sz w:val="28"/>
          <w:szCs w:val="28"/>
          <w:highlight w:val="none"/>
          <w14:textFill>
            <w14:solidFill>
              <w14:schemeClr w14:val="tx1"/>
            </w14:solidFill>
          </w14:textFill>
        </w:rPr>
      </w:pPr>
      <w:r>
        <w:rPr>
          <w:rFonts w:hint="default" w:ascii="Times New Roman" w:hAnsi="Times New Roman" w:eastAsia="黑体" w:cs="Times New Roman"/>
          <w:b/>
          <w:bCs/>
          <w:color w:val="000000" w:themeColor="text1"/>
          <w:sz w:val="28"/>
          <w:szCs w:val="28"/>
          <w:highlight w:val="none"/>
          <w14:textFill>
            <w14:solidFill>
              <w14:schemeClr w14:val="tx1"/>
            </w14:solidFill>
          </w14:textFill>
        </w:rPr>
        <w:br w:type="page"/>
      </w:r>
    </w:p>
    <w:p w14:paraId="3C45AE67">
      <w:pPr>
        <w:spacing w:line="560" w:lineRule="exact"/>
        <w:ind w:firstLine="562"/>
        <w:jc w:val="center"/>
        <w:rPr>
          <w:rFonts w:hint="default" w:ascii="Times New Roman" w:hAnsi="Times New Roman" w:cs="Times New Roman"/>
          <w:highlight w:val="none"/>
        </w:rPr>
      </w:pPr>
      <w:r>
        <w:rPr>
          <w:rFonts w:hint="default" w:ascii="Times New Roman" w:hAnsi="Times New Roman" w:eastAsia="黑体" w:cs="Times New Roman"/>
          <w:b/>
          <w:bCs/>
          <w:color w:val="000000" w:themeColor="text1"/>
          <w:sz w:val="28"/>
          <w:szCs w:val="28"/>
          <w:highlight w:val="none"/>
          <w14:textFill>
            <w14:solidFill>
              <w14:schemeClr w14:val="tx1"/>
            </w14:solidFill>
          </w14:textFill>
        </w:rPr>
        <w:t>东河区“十五五”经济社会发展主要指标</w:t>
      </w:r>
    </w:p>
    <w:tbl>
      <w:tblPr>
        <w:tblStyle w:val="27"/>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1154"/>
        <w:gridCol w:w="2928"/>
        <w:gridCol w:w="1183"/>
        <w:gridCol w:w="1183"/>
        <w:gridCol w:w="1183"/>
        <w:gridCol w:w="1121"/>
      </w:tblGrid>
      <w:tr w14:paraId="6F3E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blHeader/>
          <w:jc w:val="center"/>
        </w:trPr>
        <w:tc>
          <w:tcPr>
            <w:tcW w:w="464" w:type="dxa"/>
            <w:noWrap/>
            <w:vAlign w:val="center"/>
          </w:tcPr>
          <w:p w14:paraId="58407F7B">
            <w:pPr>
              <w:widowControl/>
              <w:snapToGrid w:val="0"/>
              <w:spacing w:line="240" w:lineRule="auto"/>
              <w:ind w:firstLine="0" w:firstLineChars="0"/>
              <w:jc w:val="center"/>
              <w:textAlignment w:val="center"/>
              <w:rPr>
                <w:rFonts w:hint="default" w:ascii="Times New Roman" w:hAnsi="Times New Roman" w:cs="Times New Roman"/>
                <w:b/>
                <w:color w:val="000000" w:themeColor="text1"/>
                <w:kern w:val="0"/>
                <w:sz w:val="21"/>
                <w:szCs w:val="21"/>
                <w:highlight w:val="none"/>
                <w14:textFill>
                  <w14:solidFill>
                    <w14:schemeClr w14:val="tx1"/>
                  </w14:solidFill>
                </w14:textFill>
              </w:rPr>
            </w:pPr>
            <w:r>
              <w:rPr>
                <w:rFonts w:hint="default" w:ascii="Times New Roman" w:hAnsi="Times New Roman" w:cs="Times New Roman"/>
                <w:b/>
                <w:bCs/>
                <w:color w:val="000000"/>
                <w:kern w:val="0"/>
                <w:sz w:val="21"/>
                <w:szCs w:val="21"/>
                <w:highlight w:val="none"/>
                <w:lang w:bidi="ar"/>
              </w:rPr>
              <w:t>序号</w:t>
            </w:r>
          </w:p>
        </w:tc>
        <w:tc>
          <w:tcPr>
            <w:tcW w:w="1154" w:type="dxa"/>
            <w:noWrap/>
            <w:vAlign w:val="center"/>
          </w:tcPr>
          <w:p w14:paraId="3D677843">
            <w:pPr>
              <w:widowControl/>
              <w:snapToGrid w:val="0"/>
              <w:spacing w:line="240" w:lineRule="auto"/>
              <w:ind w:firstLine="0" w:firstLineChars="0"/>
              <w:jc w:val="center"/>
              <w:textAlignment w:val="center"/>
              <w:rPr>
                <w:rFonts w:hint="default" w:ascii="Times New Roman" w:hAnsi="Times New Roman" w:cs="Times New Roman"/>
                <w:b/>
                <w:color w:val="000000" w:themeColor="text1"/>
                <w:kern w:val="0"/>
                <w:sz w:val="21"/>
                <w:szCs w:val="21"/>
                <w:highlight w:val="none"/>
                <w14:textFill>
                  <w14:solidFill>
                    <w14:schemeClr w14:val="tx1"/>
                  </w14:solidFill>
                </w14:textFill>
              </w:rPr>
            </w:pPr>
            <w:r>
              <w:rPr>
                <w:rFonts w:hint="default" w:ascii="Times New Roman" w:hAnsi="Times New Roman" w:cs="Times New Roman"/>
                <w:b/>
                <w:bCs/>
                <w:color w:val="000000"/>
                <w:kern w:val="0"/>
                <w:sz w:val="21"/>
                <w:szCs w:val="21"/>
                <w:highlight w:val="none"/>
                <w:lang w:bidi="ar"/>
              </w:rPr>
              <w:t>类别</w:t>
            </w:r>
          </w:p>
        </w:tc>
        <w:tc>
          <w:tcPr>
            <w:tcW w:w="2928" w:type="dxa"/>
            <w:noWrap/>
            <w:vAlign w:val="center"/>
          </w:tcPr>
          <w:p w14:paraId="457D6F5E">
            <w:pPr>
              <w:widowControl/>
              <w:snapToGrid w:val="0"/>
              <w:spacing w:line="240" w:lineRule="auto"/>
              <w:ind w:firstLine="0" w:firstLineChars="0"/>
              <w:jc w:val="center"/>
              <w:textAlignment w:val="center"/>
              <w:rPr>
                <w:rFonts w:hint="default" w:ascii="Times New Roman" w:hAnsi="Times New Roman" w:cs="Times New Roman"/>
                <w:b/>
                <w:color w:val="000000" w:themeColor="text1"/>
                <w:kern w:val="0"/>
                <w:sz w:val="21"/>
                <w:szCs w:val="21"/>
                <w:highlight w:val="none"/>
                <w14:textFill>
                  <w14:solidFill>
                    <w14:schemeClr w14:val="tx1"/>
                  </w14:solidFill>
                </w14:textFill>
              </w:rPr>
            </w:pPr>
            <w:r>
              <w:rPr>
                <w:rFonts w:hint="default" w:ascii="Times New Roman" w:hAnsi="Times New Roman" w:cs="Times New Roman"/>
                <w:b/>
                <w:bCs/>
                <w:color w:val="000000"/>
                <w:kern w:val="0"/>
                <w:sz w:val="21"/>
                <w:szCs w:val="21"/>
                <w:highlight w:val="none"/>
                <w:lang w:bidi="ar"/>
              </w:rPr>
              <w:t>指标</w:t>
            </w:r>
          </w:p>
        </w:tc>
        <w:tc>
          <w:tcPr>
            <w:tcW w:w="1183" w:type="dxa"/>
            <w:noWrap/>
            <w:vAlign w:val="center"/>
          </w:tcPr>
          <w:p w14:paraId="7826387F">
            <w:pPr>
              <w:widowControl/>
              <w:snapToGrid w:val="0"/>
              <w:spacing w:line="240" w:lineRule="auto"/>
              <w:ind w:firstLine="0" w:firstLineChars="0"/>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kern w:val="0"/>
                <w:sz w:val="21"/>
                <w:szCs w:val="21"/>
                <w:highlight w:val="none"/>
                <w:lang w:bidi="ar"/>
              </w:rPr>
              <w:t>2025年</w:t>
            </w:r>
          </w:p>
        </w:tc>
        <w:tc>
          <w:tcPr>
            <w:tcW w:w="1183" w:type="dxa"/>
            <w:noWrap/>
            <w:vAlign w:val="center"/>
          </w:tcPr>
          <w:p w14:paraId="6D5247AF">
            <w:pPr>
              <w:widowControl/>
              <w:snapToGrid w:val="0"/>
              <w:spacing w:line="240" w:lineRule="auto"/>
              <w:ind w:firstLine="0" w:firstLineChars="0"/>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kern w:val="0"/>
                <w:sz w:val="21"/>
                <w:szCs w:val="21"/>
                <w:highlight w:val="none"/>
                <w:lang w:bidi="ar"/>
              </w:rPr>
              <w:t>2030年</w:t>
            </w:r>
          </w:p>
        </w:tc>
        <w:tc>
          <w:tcPr>
            <w:tcW w:w="1183" w:type="dxa"/>
            <w:noWrap/>
            <w:vAlign w:val="center"/>
          </w:tcPr>
          <w:p w14:paraId="089505FB">
            <w:pPr>
              <w:widowControl/>
              <w:snapToGrid w:val="0"/>
              <w:spacing w:line="240" w:lineRule="auto"/>
              <w:ind w:firstLine="0" w:firstLineChars="0"/>
              <w:jc w:val="center"/>
              <w:textAlignment w:val="center"/>
              <w:rPr>
                <w:rFonts w:hint="default" w:ascii="Times New Roman" w:hAnsi="Times New Roman" w:cs="Times New Roman"/>
                <w:b/>
                <w:bCs/>
                <w:color w:val="000000"/>
                <w:kern w:val="0"/>
                <w:sz w:val="21"/>
                <w:szCs w:val="21"/>
                <w:highlight w:val="none"/>
                <w:lang w:bidi="ar"/>
              </w:rPr>
            </w:pPr>
            <w:r>
              <w:rPr>
                <w:rFonts w:hint="default" w:ascii="Times New Roman" w:hAnsi="Times New Roman" w:cs="Times New Roman"/>
                <w:b/>
                <w:bCs/>
                <w:color w:val="000000"/>
                <w:kern w:val="0"/>
                <w:sz w:val="21"/>
                <w:szCs w:val="21"/>
                <w:highlight w:val="none"/>
                <w:lang w:bidi="ar"/>
              </w:rPr>
              <w:t>年均/累计</w:t>
            </w:r>
          </w:p>
        </w:tc>
        <w:tc>
          <w:tcPr>
            <w:tcW w:w="1121" w:type="dxa"/>
            <w:noWrap/>
            <w:vAlign w:val="center"/>
          </w:tcPr>
          <w:p w14:paraId="581315F8">
            <w:pPr>
              <w:widowControl/>
              <w:snapToGrid w:val="0"/>
              <w:spacing w:line="240" w:lineRule="auto"/>
              <w:ind w:firstLine="0" w:firstLineChars="0"/>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kern w:val="0"/>
                <w:sz w:val="21"/>
                <w:szCs w:val="21"/>
                <w:highlight w:val="none"/>
                <w:lang w:bidi="ar"/>
              </w:rPr>
              <w:t>指标属性</w:t>
            </w:r>
          </w:p>
        </w:tc>
      </w:tr>
      <w:tr w14:paraId="7E9C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64" w:type="dxa"/>
            <w:noWrap/>
            <w:vAlign w:val="center"/>
          </w:tcPr>
          <w:p w14:paraId="53E2389F">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1</w:t>
            </w:r>
          </w:p>
        </w:tc>
        <w:tc>
          <w:tcPr>
            <w:tcW w:w="1154" w:type="dxa"/>
            <w:vMerge w:val="restart"/>
            <w:noWrap/>
            <w:vAlign w:val="center"/>
          </w:tcPr>
          <w:p w14:paraId="28A30C59">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经济发展（3项）</w:t>
            </w:r>
          </w:p>
        </w:tc>
        <w:tc>
          <w:tcPr>
            <w:tcW w:w="2928" w:type="dxa"/>
            <w:noWrap/>
            <w:vAlign w:val="center"/>
          </w:tcPr>
          <w:p w14:paraId="121D6AFB">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地区生产总值增长率（%）</w:t>
            </w:r>
          </w:p>
        </w:tc>
        <w:tc>
          <w:tcPr>
            <w:tcW w:w="1183" w:type="dxa"/>
            <w:noWrap/>
            <w:vAlign w:val="center"/>
          </w:tcPr>
          <w:p w14:paraId="0D9DDEF3">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4.5</w:t>
            </w:r>
          </w:p>
        </w:tc>
        <w:tc>
          <w:tcPr>
            <w:tcW w:w="1183" w:type="dxa"/>
            <w:noWrap/>
            <w:vAlign w:val="center"/>
          </w:tcPr>
          <w:p w14:paraId="7C7ED9DB">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6</w:t>
            </w:r>
          </w:p>
        </w:tc>
        <w:tc>
          <w:tcPr>
            <w:tcW w:w="1183" w:type="dxa"/>
            <w:noWrap/>
            <w:vAlign w:val="center"/>
          </w:tcPr>
          <w:p w14:paraId="29788EA3">
            <w:pPr>
              <w:widowControl/>
              <w:snapToGrid w:val="0"/>
              <w:spacing w:line="240" w:lineRule="auto"/>
              <w:ind w:firstLine="0" w:firstLineChars="0"/>
              <w:jc w:val="center"/>
              <w:textAlignment w:val="center"/>
              <w:rPr>
                <w:rFonts w:hint="default" w:ascii="Times New Roman" w:hAnsi="Times New Roman" w:eastAsia="仿宋_GB2312" w:cs="Times New Roman"/>
                <w:color w:val="000000"/>
                <w:kern w:val="0"/>
                <w:sz w:val="21"/>
                <w:szCs w:val="21"/>
                <w:highlight w:val="none"/>
                <w:lang w:val="en-US" w:eastAsia="zh-CN" w:bidi="ar"/>
              </w:rPr>
            </w:pPr>
            <w:r>
              <w:rPr>
                <w:rFonts w:hint="default" w:ascii="Times New Roman" w:hAnsi="Times New Roman" w:cs="Times New Roman"/>
                <w:color w:val="000000"/>
                <w:kern w:val="0"/>
                <w:sz w:val="21"/>
                <w:szCs w:val="21"/>
                <w:highlight w:val="none"/>
                <w:lang w:bidi="ar"/>
              </w:rPr>
              <w:t>5</w:t>
            </w:r>
            <w:r>
              <w:rPr>
                <w:rFonts w:hint="default" w:ascii="Times New Roman" w:hAnsi="Times New Roman" w:cs="Times New Roman"/>
                <w:color w:val="000000"/>
                <w:kern w:val="0"/>
                <w:sz w:val="21"/>
                <w:szCs w:val="21"/>
                <w:highlight w:val="none"/>
                <w:lang w:val="en-US" w:eastAsia="zh-CN" w:bidi="ar"/>
              </w:rPr>
              <w:t>左右</w:t>
            </w:r>
          </w:p>
        </w:tc>
        <w:tc>
          <w:tcPr>
            <w:tcW w:w="1121" w:type="dxa"/>
            <w:noWrap/>
            <w:vAlign w:val="center"/>
          </w:tcPr>
          <w:p w14:paraId="1104C23C">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预期性</w:t>
            </w:r>
          </w:p>
        </w:tc>
      </w:tr>
      <w:tr w14:paraId="1E8D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64" w:type="dxa"/>
            <w:noWrap/>
            <w:vAlign w:val="center"/>
          </w:tcPr>
          <w:p w14:paraId="46D35E02">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2</w:t>
            </w:r>
          </w:p>
        </w:tc>
        <w:tc>
          <w:tcPr>
            <w:tcW w:w="1154" w:type="dxa"/>
            <w:vMerge w:val="continue"/>
            <w:noWrap/>
            <w:vAlign w:val="center"/>
          </w:tcPr>
          <w:p w14:paraId="35CA545C">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p>
        </w:tc>
        <w:tc>
          <w:tcPr>
            <w:tcW w:w="2928" w:type="dxa"/>
            <w:noWrap/>
            <w:vAlign w:val="center"/>
          </w:tcPr>
          <w:p w14:paraId="2E131AE6">
            <w:pPr>
              <w:widowControl/>
              <w:snapToGrid w:val="0"/>
              <w:spacing w:line="240" w:lineRule="auto"/>
              <w:ind w:firstLine="0" w:firstLineChars="0"/>
              <w:jc w:val="left"/>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全员劳动生产率增长（%）</w:t>
            </w:r>
          </w:p>
        </w:tc>
        <w:tc>
          <w:tcPr>
            <w:tcW w:w="1183" w:type="dxa"/>
            <w:noWrap/>
            <w:vAlign w:val="center"/>
          </w:tcPr>
          <w:p w14:paraId="2DFBBC5A">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1183" w:type="dxa"/>
            <w:noWrap/>
            <w:vAlign w:val="center"/>
          </w:tcPr>
          <w:p w14:paraId="2D759785">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1183" w:type="dxa"/>
            <w:noWrap/>
            <w:vAlign w:val="center"/>
          </w:tcPr>
          <w:p w14:paraId="1342A675">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5</w:t>
            </w:r>
            <w:r>
              <w:rPr>
                <w:rFonts w:hint="default" w:ascii="Times New Roman" w:hAnsi="Times New Roman" w:cs="Times New Roman"/>
                <w:color w:val="000000"/>
                <w:kern w:val="0"/>
                <w:sz w:val="21"/>
                <w:szCs w:val="21"/>
                <w:highlight w:val="none"/>
                <w:lang w:val="en-US" w:eastAsia="zh-CN" w:bidi="ar"/>
              </w:rPr>
              <w:t>左右</w:t>
            </w:r>
          </w:p>
        </w:tc>
        <w:tc>
          <w:tcPr>
            <w:tcW w:w="1121" w:type="dxa"/>
            <w:noWrap/>
            <w:vAlign w:val="center"/>
          </w:tcPr>
          <w:p w14:paraId="7EF88182">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预期性</w:t>
            </w:r>
          </w:p>
        </w:tc>
      </w:tr>
      <w:tr w14:paraId="0531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64" w:type="dxa"/>
            <w:noWrap/>
            <w:vAlign w:val="center"/>
          </w:tcPr>
          <w:p w14:paraId="31077461">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3</w:t>
            </w:r>
          </w:p>
        </w:tc>
        <w:tc>
          <w:tcPr>
            <w:tcW w:w="1154" w:type="dxa"/>
            <w:vMerge w:val="continue"/>
            <w:noWrap/>
            <w:vAlign w:val="center"/>
          </w:tcPr>
          <w:p w14:paraId="06087E77">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2928" w:type="dxa"/>
            <w:noWrap/>
            <w:vAlign w:val="center"/>
          </w:tcPr>
          <w:p w14:paraId="0EE84AD0">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常住人口城镇化率（%）</w:t>
            </w:r>
          </w:p>
        </w:tc>
        <w:tc>
          <w:tcPr>
            <w:tcW w:w="1183" w:type="dxa"/>
            <w:noWrap/>
            <w:vAlign w:val="center"/>
          </w:tcPr>
          <w:p w14:paraId="008ACE28">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93.5</w:t>
            </w:r>
          </w:p>
        </w:tc>
        <w:tc>
          <w:tcPr>
            <w:tcW w:w="1183" w:type="dxa"/>
            <w:noWrap/>
            <w:vAlign w:val="center"/>
          </w:tcPr>
          <w:p w14:paraId="681377AC">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95</w:t>
            </w:r>
          </w:p>
        </w:tc>
        <w:tc>
          <w:tcPr>
            <w:tcW w:w="1183" w:type="dxa"/>
            <w:noWrap/>
            <w:vAlign w:val="center"/>
          </w:tcPr>
          <w:p w14:paraId="4DE2E298">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bCs/>
                <w:sz w:val="21"/>
                <w:szCs w:val="24"/>
                <w:highlight w:val="none"/>
              </w:rPr>
              <w:t>[1.5]</w:t>
            </w:r>
          </w:p>
        </w:tc>
        <w:tc>
          <w:tcPr>
            <w:tcW w:w="1121" w:type="dxa"/>
            <w:noWrap/>
            <w:vAlign w:val="center"/>
          </w:tcPr>
          <w:p w14:paraId="141BAFBF">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预期性</w:t>
            </w:r>
          </w:p>
        </w:tc>
      </w:tr>
      <w:tr w14:paraId="7BF8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64" w:type="dxa"/>
            <w:noWrap/>
            <w:vAlign w:val="center"/>
          </w:tcPr>
          <w:p w14:paraId="685D0929">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4</w:t>
            </w:r>
          </w:p>
        </w:tc>
        <w:tc>
          <w:tcPr>
            <w:tcW w:w="1154" w:type="dxa"/>
            <w:vMerge w:val="restart"/>
            <w:noWrap/>
            <w:vAlign w:val="center"/>
          </w:tcPr>
          <w:p w14:paraId="54354C46">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创新驱动（3项）</w:t>
            </w:r>
          </w:p>
        </w:tc>
        <w:tc>
          <w:tcPr>
            <w:tcW w:w="2928" w:type="dxa"/>
            <w:noWrap/>
            <w:vAlign w:val="center"/>
          </w:tcPr>
          <w:p w14:paraId="1BBC063A">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全社会研发经费投入增长（%）</w:t>
            </w:r>
          </w:p>
        </w:tc>
        <w:tc>
          <w:tcPr>
            <w:tcW w:w="1183" w:type="dxa"/>
            <w:noWrap/>
            <w:vAlign w:val="center"/>
          </w:tcPr>
          <w:p w14:paraId="1747AF06">
            <w:pPr>
              <w:widowControl/>
              <w:snapToGrid w:val="0"/>
              <w:spacing w:line="240" w:lineRule="auto"/>
              <w:ind w:firstLine="420" w:firstLineChars="20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1183" w:type="dxa"/>
            <w:noWrap/>
            <w:vAlign w:val="center"/>
          </w:tcPr>
          <w:p w14:paraId="34122563">
            <w:pPr>
              <w:widowControl/>
              <w:snapToGrid w:val="0"/>
              <w:spacing w:line="240" w:lineRule="auto"/>
              <w:ind w:firstLine="420" w:firstLineChars="20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1183" w:type="dxa"/>
            <w:noWrap/>
            <w:vAlign w:val="center"/>
          </w:tcPr>
          <w:p w14:paraId="37312740">
            <w:pPr>
              <w:widowControl/>
              <w:snapToGrid w:val="0"/>
              <w:spacing w:line="240" w:lineRule="auto"/>
              <w:ind w:firstLine="0" w:firstLineChars="0"/>
              <w:jc w:val="center"/>
              <w:textAlignment w:val="center"/>
              <w:rPr>
                <w:rFonts w:hint="eastAsia" w:ascii="Times New Roman" w:hAnsi="Times New Roman" w:eastAsia="仿宋_GB2312"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7</w:t>
            </w:r>
          </w:p>
        </w:tc>
        <w:tc>
          <w:tcPr>
            <w:tcW w:w="1121" w:type="dxa"/>
            <w:noWrap/>
            <w:vAlign w:val="center"/>
          </w:tcPr>
          <w:p w14:paraId="73BB8562">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预期性</w:t>
            </w:r>
          </w:p>
        </w:tc>
      </w:tr>
      <w:tr w14:paraId="3970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64" w:type="dxa"/>
            <w:noWrap/>
            <w:vAlign w:val="center"/>
          </w:tcPr>
          <w:p w14:paraId="1930C124">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5</w:t>
            </w:r>
          </w:p>
        </w:tc>
        <w:tc>
          <w:tcPr>
            <w:tcW w:w="1154" w:type="dxa"/>
            <w:vMerge w:val="continue"/>
            <w:noWrap/>
            <w:vAlign w:val="center"/>
          </w:tcPr>
          <w:p w14:paraId="7E6E328E">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2928" w:type="dxa"/>
            <w:noWrap/>
            <w:vAlign w:val="center"/>
          </w:tcPr>
          <w:p w14:paraId="64965F6E">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数字经济核心产业增加值占地区生产总值比重（%）</w:t>
            </w:r>
          </w:p>
        </w:tc>
        <w:tc>
          <w:tcPr>
            <w:tcW w:w="1183" w:type="dxa"/>
            <w:noWrap/>
            <w:vAlign w:val="center"/>
          </w:tcPr>
          <w:p w14:paraId="77D7E3E3">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1183" w:type="dxa"/>
            <w:noWrap/>
            <w:vAlign w:val="center"/>
          </w:tcPr>
          <w:p w14:paraId="304E6F01">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1183" w:type="dxa"/>
            <w:noWrap/>
            <w:vAlign w:val="center"/>
          </w:tcPr>
          <w:p w14:paraId="4C0556CC">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w:t>
            </w:r>
          </w:p>
        </w:tc>
        <w:tc>
          <w:tcPr>
            <w:tcW w:w="1121" w:type="dxa"/>
            <w:noWrap/>
            <w:vAlign w:val="center"/>
          </w:tcPr>
          <w:p w14:paraId="03DFBD5C">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预期性</w:t>
            </w:r>
          </w:p>
        </w:tc>
      </w:tr>
      <w:tr w14:paraId="15DB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64" w:type="dxa"/>
            <w:noWrap/>
            <w:vAlign w:val="center"/>
          </w:tcPr>
          <w:p w14:paraId="1D73855A">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6</w:t>
            </w:r>
          </w:p>
        </w:tc>
        <w:tc>
          <w:tcPr>
            <w:tcW w:w="1154" w:type="dxa"/>
            <w:vMerge w:val="continue"/>
            <w:noWrap/>
            <w:vAlign w:val="center"/>
          </w:tcPr>
          <w:p w14:paraId="73CF89DC">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2928" w:type="dxa"/>
            <w:noWrap/>
            <w:vAlign w:val="center"/>
          </w:tcPr>
          <w:p w14:paraId="7BE8B7A7">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高价值发明专利拥有量（件）</w:t>
            </w:r>
          </w:p>
        </w:tc>
        <w:tc>
          <w:tcPr>
            <w:tcW w:w="1183" w:type="dxa"/>
            <w:noWrap/>
            <w:vAlign w:val="center"/>
          </w:tcPr>
          <w:p w14:paraId="29DA6FE4">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60</w:t>
            </w:r>
          </w:p>
        </w:tc>
        <w:tc>
          <w:tcPr>
            <w:tcW w:w="1183" w:type="dxa"/>
            <w:noWrap/>
            <w:vAlign w:val="center"/>
          </w:tcPr>
          <w:p w14:paraId="3C0338CC">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80</w:t>
            </w:r>
          </w:p>
        </w:tc>
        <w:tc>
          <w:tcPr>
            <w:tcW w:w="1183" w:type="dxa"/>
            <w:noWrap/>
            <w:vAlign w:val="center"/>
          </w:tcPr>
          <w:p w14:paraId="62A6C213">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bCs/>
                <w:sz w:val="21"/>
                <w:szCs w:val="24"/>
                <w:highlight w:val="none"/>
              </w:rPr>
              <w:t>[20]</w:t>
            </w:r>
          </w:p>
        </w:tc>
        <w:tc>
          <w:tcPr>
            <w:tcW w:w="1121" w:type="dxa"/>
            <w:noWrap/>
            <w:vAlign w:val="center"/>
          </w:tcPr>
          <w:p w14:paraId="3270362F">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预期性</w:t>
            </w:r>
          </w:p>
        </w:tc>
      </w:tr>
      <w:tr w14:paraId="5853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64" w:type="dxa"/>
            <w:noWrap/>
            <w:vAlign w:val="center"/>
          </w:tcPr>
          <w:p w14:paraId="1F5A1248">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7</w:t>
            </w:r>
          </w:p>
        </w:tc>
        <w:tc>
          <w:tcPr>
            <w:tcW w:w="1154" w:type="dxa"/>
            <w:vMerge w:val="restart"/>
            <w:noWrap/>
            <w:vAlign w:val="center"/>
          </w:tcPr>
          <w:p w14:paraId="5D7C04DC">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民生福祉（7项）</w:t>
            </w:r>
          </w:p>
        </w:tc>
        <w:tc>
          <w:tcPr>
            <w:tcW w:w="2928" w:type="dxa"/>
            <w:noWrap/>
            <w:vAlign w:val="center"/>
          </w:tcPr>
          <w:p w14:paraId="79D3484E">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城镇新增就业人数（万人）</w:t>
            </w:r>
          </w:p>
        </w:tc>
        <w:tc>
          <w:tcPr>
            <w:tcW w:w="1183" w:type="dxa"/>
            <w:noWrap/>
            <w:vAlign w:val="center"/>
          </w:tcPr>
          <w:p w14:paraId="3989D71E">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1183" w:type="dxa"/>
            <w:noWrap/>
            <w:vAlign w:val="center"/>
          </w:tcPr>
          <w:p w14:paraId="780E5A42">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1183" w:type="dxa"/>
            <w:noWrap/>
            <w:vAlign w:val="center"/>
          </w:tcPr>
          <w:p w14:paraId="59A9974D">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w:t>
            </w:r>
          </w:p>
        </w:tc>
        <w:tc>
          <w:tcPr>
            <w:tcW w:w="1121" w:type="dxa"/>
            <w:noWrap/>
            <w:vAlign w:val="center"/>
          </w:tcPr>
          <w:p w14:paraId="5A1E5297">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预期性</w:t>
            </w:r>
          </w:p>
        </w:tc>
      </w:tr>
      <w:tr w14:paraId="4461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64" w:type="dxa"/>
            <w:noWrap/>
            <w:vAlign w:val="center"/>
          </w:tcPr>
          <w:p w14:paraId="11C0A153">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8</w:t>
            </w:r>
          </w:p>
        </w:tc>
        <w:tc>
          <w:tcPr>
            <w:tcW w:w="1154" w:type="dxa"/>
            <w:vMerge w:val="continue"/>
            <w:noWrap/>
            <w:vAlign w:val="center"/>
          </w:tcPr>
          <w:p w14:paraId="25F9AB32">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2928" w:type="dxa"/>
            <w:noWrap/>
            <w:vAlign w:val="center"/>
          </w:tcPr>
          <w:p w14:paraId="76295FEC">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居民人均可支配收入增长（%）</w:t>
            </w:r>
          </w:p>
        </w:tc>
        <w:tc>
          <w:tcPr>
            <w:tcW w:w="1183" w:type="dxa"/>
            <w:noWrap/>
            <w:vAlign w:val="center"/>
          </w:tcPr>
          <w:p w14:paraId="2C51DADE">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5</w:t>
            </w:r>
          </w:p>
        </w:tc>
        <w:tc>
          <w:tcPr>
            <w:tcW w:w="1183" w:type="dxa"/>
            <w:noWrap/>
            <w:vAlign w:val="center"/>
          </w:tcPr>
          <w:p w14:paraId="5B46537C">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5.5</w:t>
            </w:r>
          </w:p>
        </w:tc>
        <w:tc>
          <w:tcPr>
            <w:tcW w:w="1183" w:type="dxa"/>
            <w:noWrap/>
            <w:vAlign w:val="center"/>
          </w:tcPr>
          <w:p w14:paraId="33FD97E9">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bCs/>
                <w:sz w:val="21"/>
                <w:szCs w:val="24"/>
                <w:highlight w:val="none"/>
              </w:rPr>
              <w:t>[0.5]</w:t>
            </w:r>
          </w:p>
        </w:tc>
        <w:tc>
          <w:tcPr>
            <w:tcW w:w="1121" w:type="dxa"/>
            <w:noWrap/>
            <w:vAlign w:val="center"/>
          </w:tcPr>
          <w:p w14:paraId="22B993A6">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预期性</w:t>
            </w:r>
          </w:p>
        </w:tc>
      </w:tr>
      <w:tr w14:paraId="5BEB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64" w:type="dxa"/>
            <w:noWrap/>
            <w:vAlign w:val="center"/>
          </w:tcPr>
          <w:p w14:paraId="7E5FF681">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9</w:t>
            </w:r>
          </w:p>
        </w:tc>
        <w:tc>
          <w:tcPr>
            <w:tcW w:w="1154" w:type="dxa"/>
            <w:vMerge w:val="continue"/>
            <w:noWrap/>
            <w:vAlign w:val="center"/>
          </w:tcPr>
          <w:p w14:paraId="4280B8FC">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2928" w:type="dxa"/>
            <w:noWrap/>
            <w:vAlign w:val="center"/>
          </w:tcPr>
          <w:p w14:paraId="5F457AC7">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eastAsia" w:cs="Times New Roman"/>
                <w:color w:val="000000"/>
                <w:kern w:val="0"/>
                <w:sz w:val="21"/>
                <w:szCs w:val="21"/>
                <w:highlight w:val="none"/>
                <w:lang w:eastAsia="zh-CN" w:bidi="ar"/>
              </w:rPr>
              <w:t>劳动年龄人口平均受教育年限</w:t>
            </w:r>
            <w:r>
              <w:rPr>
                <w:rFonts w:hint="default" w:ascii="Times New Roman" w:hAnsi="Times New Roman" w:cs="Times New Roman"/>
                <w:color w:val="000000"/>
                <w:kern w:val="0"/>
                <w:sz w:val="21"/>
                <w:szCs w:val="21"/>
                <w:highlight w:val="none"/>
                <w:lang w:bidi="ar"/>
              </w:rPr>
              <w:t>（年）</w:t>
            </w:r>
          </w:p>
        </w:tc>
        <w:tc>
          <w:tcPr>
            <w:tcW w:w="1183" w:type="dxa"/>
            <w:noWrap/>
            <w:vAlign w:val="center"/>
          </w:tcPr>
          <w:p w14:paraId="07841F54">
            <w:pPr>
              <w:snapToGrid w:val="0"/>
              <w:spacing w:line="240" w:lineRule="auto"/>
              <w:ind w:firstLine="0" w:firstLineChars="0"/>
              <w:jc w:val="center"/>
              <w:rPr>
                <w:rFonts w:hint="default" w:ascii="Times New Roman" w:hAnsi="Times New Roman" w:eastAsia="仿宋_GB2312"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kern w:val="0"/>
                <w:sz w:val="21"/>
                <w:szCs w:val="21"/>
                <w:highlight w:val="none"/>
                <w:lang w:val="en-US" w:eastAsia="zh-CN" w:bidi="ar"/>
              </w:rPr>
              <w:t>12.6</w:t>
            </w:r>
          </w:p>
        </w:tc>
        <w:tc>
          <w:tcPr>
            <w:tcW w:w="1183" w:type="dxa"/>
            <w:noWrap/>
            <w:vAlign w:val="center"/>
          </w:tcPr>
          <w:p w14:paraId="72B296BB">
            <w:pPr>
              <w:snapToGrid w:val="0"/>
              <w:spacing w:line="240" w:lineRule="auto"/>
              <w:ind w:firstLine="0" w:firstLineChars="0"/>
              <w:jc w:val="center"/>
              <w:rPr>
                <w:rFonts w:hint="default" w:ascii="Times New Roman" w:hAnsi="Times New Roman" w:eastAsia="仿宋_GB2312"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kern w:val="0"/>
                <w:sz w:val="21"/>
                <w:szCs w:val="21"/>
                <w:highlight w:val="none"/>
                <w:lang w:val="en-US" w:eastAsia="zh-CN" w:bidi="ar"/>
              </w:rPr>
              <w:t>12.7</w:t>
            </w:r>
          </w:p>
        </w:tc>
        <w:tc>
          <w:tcPr>
            <w:tcW w:w="1183" w:type="dxa"/>
            <w:noWrap/>
            <w:vAlign w:val="center"/>
          </w:tcPr>
          <w:p w14:paraId="484D6D22">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w:t>
            </w:r>
          </w:p>
        </w:tc>
        <w:tc>
          <w:tcPr>
            <w:tcW w:w="1121" w:type="dxa"/>
            <w:noWrap/>
            <w:vAlign w:val="center"/>
          </w:tcPr>
          <w:p w14:paraId="5D608C17">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预期性</w:t>
            </w:r>
          </w:p>
        </w:tc>
      </w:tr>
      <w:tr w14:paraId="100F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64" w:type="dxa"/>
            <w:noWrap/>
            <w:vAlign w:val="center"/>
          </w:tcPr>
          <w:p w14:paraId="6740FA08">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10</w:t>
            </w:r>
          </w:p>
        </w:tc>
        <w:tc>
          <w:tcPr>
            <w:tcW w:w="1154" w:type="dxa"/>
            <w:vMerge w:val="continue"/>
            <w:noWrap/>
            <w:vAlign w:val="center"/>
          </w:tcPr>
          <w:p w14:paraId="42C4FDFE">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2928" w:type="dxa"/>
            <w:noWrap/>
            <w:vAlign w:val="center"/>
          </w:tcPr>
          <w:p w14:paraId="1A50C122">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人均预期寿命（岁）</w:t>
            </w:r>
          </w:p>
        </w:tc>
        <w:tc>
          <w:tcPr>
            <w:tcW w:w="1183" w:type="dxa"/>
            <w:noWrap/>
            <w:vAlign w:val="center"/>
          </w:tcPr>
          <w:p w14:paraId="270DF03F">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1183" w:type="dxa"/>
            <w:noWrap/>
            <w:vAlign w:val="center"/>
          </w:tcPr>
          <w:p w14:paraId="5CC671E2">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1183" w:type="dxa"/>
            <w:noWrap/>
            <w:vAlign w:val="center"/>
          </w:tcPr>
          <w:p w14:paraId="440BD281">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w:t>
            </w:r>
          </w:p>
        </w:tc>
        <w:tc>
          <w:tcPr>
            <w:tcW w:w="1121" w:type="dxa"/>
            <w:noWrap/>
            <w:vAlign w:val="center"/>
          </w:tcPr>
          <w:p w14:paraId="14976BD1">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预期性</w:t>
            </w:r>
          </w:p>
        </w:tc>
      </w:tr>
      <w:tr w14:paraId="5ECD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64" w:type="dxa"/>
            <w:noWrap/>
            <w:vAlign w:val="center"/>
          </w:tcPr>
          <w:p w14:paraId="4FDC1102">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11</w:t>
            </w:r>
          </w:p>
        </w:tc>
        <w:tc>
          <w:tcPr>
            <w:tcW w:w="1154" w:type="dxa"/>
            <w:vMerge w:val="continue"/>
            <w:noWrap/>
            <w:vAlign w:val="center"/>
          </w:tcPr>
          <w:p w14:paraId="4885543D">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2928" w:type="dxa"/>
            <w:noWrap/>
            <w:vAlign w:val="center"/>
          </w:tcPr>
          <w:p w14:paraId="3DFD922F">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每千人拥有医护人员数（人）</w:t>
            </w:r>
          </w:p>
        </w:tc>
        <w:tc>
          <w:tcPr>
            <w:tcW w:w="1183" w:type="dxa"/>
            <w:noWrap/>
            <w:vAlign w:val="center"/>
          </w:tcPr>
          <w:p w14:paraId="43DDEFBD">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13.5</w:t>
            </w:r>
          </w:p>
        </w:tc>
        <w:tc>
          <w:tcPr>
            <w:tcW w:w="1183" w:type="dxa"/>
            <w:noWrap/>
            <w:vAlign w:val="center"/>
          </w:tcPr>
          <w:p w14:paraId="3442F742">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13.7</w:t>
            </w:r>
          </w:p>
        </w:tc>
        <w:tc>
          <w:tcPr>
            <w:tcW w:w="1183" w:type="dxa"/>
            <w:noWrap/>
            <w:vAlign w:val="center"/>
          </w:tcPr>
          <w:p w14:paraId="08147167">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bCs/>
                <w:sz w:val="21"/>
                <w:szCs w:val="24"/>
                <w:highlight w:val="none"/>
              </w:rPr>
              <w:t>[0.2]</w:t>
            </w:r>
          </w:p>
        </w:tc>
        <w:tc>
          <w:tcPr>
            <w:tcW w:w="1121" w:type="dxa"/>
            <w:noWrap/>
            <w:vAlign w:val="center"/>
          </w:tcPr>
          <w:p w14:paraId="134F2867">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预期性</w:t>
            </w:r>
          </w:p>
        </w:tc>
      </w:tr>
      <w:tr w14:paraId="7376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64" w:type="dxa"/>
            <w:noWrap/>
            <w:vAlign w:val="center"/>
          </w:tcPr>
          <w:p w14:paraId="16B6DB9C">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12</w:t>
            </w:r>
          </w:p>
        </w:tc>
        <w:tc>
          <w:tcPr>
            <w:tcW w:w="1154" w:type="dxa"/>
            <w:vMerge w:val="continue"/>
            <w:noWrap/>
            <w:vAlign w:val="center"/>
          </w:tcPr>
          <w:p w14:paraId="0013BECD">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2928" w:type="dxa"/>
            <w:noWrap/>
            <w:vAlign w:val="center"/>
          </w:tcPr>
          <w:p w14:paraId="108B6AC2">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养老机构护理型床位占比（%）</w:t>
            </w:r>
          </w:p>
        </w:tc>
        <w:tc>
          <w:tcPr>
            <w:tcW w:w="1183" w:type="dxa"/>
            <w:noWrap/>
            <w:vAlign w:val="center"/>
          </w:tcPr>
          <w:p w14:paraId="4F8B555D">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75</w:t>
            </w:r>
          </w:p>
        </w:tc>
        <w:tc>
          <w:tcPr>
            <w:tcW w:w="1183" w:type="dxa"/>
            <w:noWrap/>
            <w:vAlign w:val="center"/>
          </w:tcPr>
          <w:p w14:paraId="2F56C3D2">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90</w:t>
            </w:r>
          </w:p>
        </w:tc>
        <w:tc>
          <w:tcPr>
            <w:tcW w:w="1183" w:type="dxa"/>
            <w:noWrap/>
            <w:vAlign w:val="center"/>
          </w:tcPr>
          <w:p w14:paraId="2EA31A4B">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bCs/>
                <w:sz w:val="21"/>
                <w:szCs w:val="24"/>
                <w:highlight w:val="none"/>
              </w:rPr>
              <w:t>[15]</w:t>
            </w:r>
          </w:p>
        </w:tc>
        <w:tc>
          <w:tcPr>
            <w:tcW w:w="1121" w:type="dxa"/>
            <w:noWrap/>
            <w:vAlign w:val="center"/>
          </w:tcPr>
          <w:p w14:paraId="42348244">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预期性</w:t>
            </w:r>
          </w:p>
        </w:tc>
      </w:tr>
      <w:tr w14:paraId="04A4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64" w:type="dxa"/>
            <w:noWrap/>
            <w:vAlign w:val="center"/>
          </w:tcPr>
          <w:p w14:paraId="1CABC919">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13</w:t>
            </w:r>
          </w:p>
        </w:tc>
        <w:tc>
          <w:tcPr>
            <w:tcW w:w="1154" w:type="dxa"/>
            <w:vMerge w:val="continue"/>
            <w:noWrap/>
            <w:vAlign w:val="center"/>
          </w:tcPr>
          <w:p w14:paraId="054E96BB">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2928" w:type="dxa"/>
            <w:noWrap/>
            <w:vAlign w:val="center"/>
          </w:tcPr>
          <w:p w14:paraId="32F944D3">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3岁以下婴幼儿入托率提高（%）</w:t>
            </w:r>
          </w:p>
        </w:tc>
        <w:tc>
          <w:tcPr>
            <w:tcW w:w="1183" w:type="dxa"/>
            <w:noWrap/>
            <w:vAlign w:val="center"/>
          </w:tcPr>
          <w:p w14:paraId="1FD211AB">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w:t>
            </w:r>
          </w:p>
        </w:tc>
        <w:tc>
          <w:tcPr>
            <w:tcW w:w="1183" w:type="dxa"/>
            <w:noWrap/>
            <w:vAlign w:val="center"/>
          </w:tcPr>
          <w:p w14:paraId="58FC9DBE">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w:t>
            </w:r>
          </w:p>
        </w:tc>
        <w:tc>
          <w:tcPr>
            <w:tcW w:w="1183" w:type="dxa"/>
            <w:noWrap/>
            <w:vAlign w:val="center"/>
          </w:tcPr>
          <w:p w14:paraId="6E3C6CF2">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bCs/>
                <w:sz w:val="21"/>
                <w:szCs w:val="24"/>
                <w:highlight w:val="none"/>
              </w:rPr>
              <w:t>[</w:t>
            </w:r>
            <w:r>
              <w:rPr>
                <w:rFonts w:hint="default" w:ascii="Times New Roman" w:hAnsi="Times New Roman" w:cs="Times New Roman"/>
                <w:bCs/>
                <w:sz w:val="21"/>
                <w:szCs w:val="24"/>
                <w:highlight w:val="none"/>
                <w:lang w:val="en-US" w:eastAsia="zh-CN"/>
              </w:rPr>
              <w:t>5.5</w:t>
            </w:r>
            <w:r>
              <w:rPr>
                <w:rFonts w:hint="default" w:ascii="Times New Roman" w:hAnsi="Times New Roman" w:cs="Times New Roman"/>
                <w:bCs/>
                <w:sz w:val="21"/>
                <w:szCs w:val="24"/>
                <w:highlight w:val="none"/>
              </w:rPr>
              <w:t>]</w:t>
            </w:r>
          </w:p>
        </w:tc>
        <w:tc>
          <w:tcPr>
            <w:tcW w:w="1121" w:type="dxa"/>
            <w:noWrap/>
            <w:vAlign w:val="center"/>
          </w:tcPr>
          <w:p w14:paraId="1F2C6179">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预期性</w:t>
            </w:r>
          </w:p>
        </w:tc>
      </w:tr>
      <w:tr w14:paraId="5BD1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64" w:type="dxa"/>
            <w:noWrap/>
            <w:vAlign w:val="center"/>
          </w:tcPr>
          <w:p w14:paraId="2843DCE4">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14</w:t>
            </w:r>
          </w:p>
        </w:tc>
        <w:tc>
          <w:tcPr>
            <w:tcW w:w="1154" w:type="dxa"/>
            <w:vMerge w:val="restart"/>
            <w:noWrap/>
            <w:vAlign w:val="center"/>
          </w:tcPr>
          <w:p w14:paraId="4E7DDD09">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绿色低碳（5项）</w:t>
            </w:r>
          </w:p>
        </w:tc>
        <w:tc>
          <w:tcPr>
            <w:tcW w:w="2928" w:type="dxa"/>
            <w:noWrap/>
            <w:vAlign w:val="center"/>
          </w:tcPr>
          <w:p w14:paraId="4D9583AD">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非化石能源占能源消费总量比重（%）</w:t>
            </w:r>
          </w:p>
        </w:tc>
        <w:tc>
          <w:tcPr>
            <w:tcW w:w="1183" w:type="dxa"/>
            <w:noWrap/>
            <w:vAlign w:val="center"/>
          </w:tcPr>
          <w:p w14:paraId="7BE962C7">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w:t>
            </w:r>
          </w:p>
        </w:tc>
        <w:tc>
          <w:tcPr>
            <w:tcW w:w="1183" w:type="dxa"/>
            <w:noWrap/>
            <w:vAlign w:val="center"/>
          </w:tcPr>
          <w:p w14:paraId="437F71D1">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w:t>
            </w:r>
          </w:p>
        </w:tc>
        <w:tc>
          <w:tcPr>
            <w:tcW w:w="1183" w:type="dxa"/>
            <w:noWrap/>
            <w:vAlign w:val="center"/>
          </w:tcPr>
          <w:p w14:paraId="0B3E2CC8">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达到上级目标要求</w:t>
            </w:r>
          </w:p>
        </w:tc>
        <w:tc>
          <w:tcPr>
            <w:tcW w:w="1121" w:type="dxa"/>
            <w:noWrap/>
            <w:vAlign w:val="center"/>
          </w:tcPr>
          <w:p w14:paraId="6B489D91">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约束性</w:t>
            </w:r>
          </w:p>
        </w:tc>
      </w:tr>
      <w:tr w14:paraId="2AFB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64" w:type="dxa"/>
            <w:noWrap/>
            <w:vAlign w:val="center"/>
          </w:tcPr>
          <w:p w14:paraId="14975710">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15</w:t>
            </w:r>
          </w:p>
        </w:tc>
        <w:tc>
          <w:tcPr>
            <w:tcW w:w="1154" w:type="dxa"/>
            <w:vMerge w:val="continue"/>
            <w:noWrap/>
            <w:vAlign w:val="center"/>
          </w:tcPr>
          <w:p w14:paraId="0CF3C78C">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2928" w:type="dxa"/>
            <w:noWrap/>
            <w:vAlign w:val="center"/>
          </w:tcPr>
          <w:p w14:paraId="7F3B0B50">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单位GDP二氧化碳排放降幅（%）</w:t>
            </w:r>
          </w:p>
        </w:tc>
        <w:tc>
          <w:tcPr>
            <w:tcW w:w="1183" w:type="dxa"/>
            <w:noWrap/>
            <w:vAlign w:val="center"/>
          </w:tcPr>
          <w:p w14:paraId="172E0AE1">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17.5</w:t>
            </w:r>
          </w:p>
        </w:tc>
        <w:tc>
          <w:tcPr>
            <w:tcW w:w="1183" w:type="dxa"/>
            <w:noWrap/>
            <w:vAlign w:val="center"/>
          </w:tcPr>
          <w:p w14:paraId="5C64154E">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w:t>
            </w:r>
          </w:p>
        </w:tc>
        <w:tc>
          <w:tcPr>
            <w:tcW w:w="1183" w:type="dxa"/>
            <w:noWrap/>
            <w:vAlign w:val="center"/>
          </w:tcPr>
          <w:p w14:paraId="06923AB0">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达到上级目标要求</w:t>
            </w:r>
          </w:p>
        </w:tc>
        <w:tc>
          <w:tcPr>
            <w:tcW w:w="1121" w:type="dxa"/>
            <w:noWrap/>
            <w:vAlign w:val="center"/>
          </w:tcPr>
          <w:p w14:paraId="32E23440">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约束性</w:t>
            </w:r>
          </w:p>
        </w:tc>
      </w:tr>
      <w:tr w14:paraId="4DD5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64" w:type="dxa"/>
            <w:noWrap/>
            <w:vAlign w:val="center"/>
          </w:tcPr>
          <w:p w14:paraId="058F1575">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16</w:t>
            </w:r>
          </w:p>
        </w:tc>
        <w:tc>
          <w:tcPr>
            <w:tcW w:w="1154" w:type="dxa"/>
            <w:vMerge w:val="continue"/>
            <w:noWrap/>
            <w:vAlign w:val="center"/>
          </w:tcPr>
          <w:p w14:paraId="5D36CED1">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2928" w:type="dxa"/>
            <w:noWrap/>
            <w:vAlign w:val="center"/>
          </w:tcPr>
          <w:p w14:paraId="1AA9134D">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城市细颗粒物（PM</w:t>
            </w:r>
            <w:r>
              <w:rPr>
                <w:rStyle w:val="141"/>
                <w:rFonts w:hint="default" w:ascii="Times New Roman" w:hAnsi="Times New Roman" w:cs="Times New Roman"/>
                <w:highlight w:val="none"/>
                <w:lang w:bidi="ar"/>
              </w:rPr>
              <w:t>2.5</w:t>
            </w:r>
            <w:r>
              <w:rPr>
                <w:rStyle w:val="142"/>
                <w:rFonts w:hint="default" w:ascii="Times New Roman" w:hAnsi="Times New Roman" w:cs="Times New Roman"/>
                <w:highlight w:val="none"/>
                <w:lang w:bidi="ar"/>
              </w:rPr>
              <w:t>）浓度（微克/立方米）</w:t>
            </w:r>
          </w:p>
        </w:tc>
        <w:tc>
          <w:tcPr>
            <w:tcW w:w="1183" w:type="dxa"/>
            <w:noWrap/>
            <w:vAlign w:val="center"/>
          </w:tcPr>
          <w:p w14:paraId="63562F9C">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达到上级目标要求</w:t>
            </w:r>
          </w:p>
        </w:tc>
        <w:tc>
          <w:tcPr>
            <w:tcW w:w="1183" w:type="dxa"/>
            <w:noWrap/>
            <w:vAlign w:val="center"/>
          </w:tcPr>
          <w:p w14:paraId="7C6D6E2D">
            <w:pPr>
              <w:widowControl/>
              <w:snapToGrid w:val="0"/>
              <w:spacing w:line="240" w:lineRule="auto"/>
              <w:ind w:firstLine="0" w:firstLineChars="0"/>
              <w:jc w:val="center"/>
              <w:textAlignment w:val="center"/>
              <w:rPr>
                <w:rFonts w:hint="default" w:ascii="Times New Roman" w:hAnsi="Times New Roman" w:cs="Times New Roman"/>
                <w:b/>
                <w:bCs/>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达到上级目标要求</w:t>
            </w:r>
          </w:p>
        </w:tc>
        <w:tc>
          <w:tcPr>
            <w:tcW w:w="1183" w:type="dxa"/>
            <w:noWrap/>
            <w:vAlign w:val="center"/>
          </w:tcPr>
          <w:p w14:paraId="0D28B3E1">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w:t>
            </w:r>
          </w:p>
        </w:tc>
        <w:tc>
          <w:tcPr>
            <w:tcW w:w="1121" w:type="dxa"/>
            <w:noWrap/>
            <w:vAlign w:val="center"/>
          </w:tcPr>
          <w:p w14:paraId="6D897835">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约束性</w:t>
            </w:r>
          </w:p>
        </w:tc>
      </w:tr>
      <w:tr w14:paraId="4FBE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64" w:type="dxa"/>
            <w:noWrap/>
            <w:vAlign w:val="center"/>
          </w:tcPr>
          <w:p w14:paraId="101BEC77">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17</w:t>
            </w:r>
          </w:p>
        </w:tc>
        <w:tc>
          <w:tcPr>
            <w:tcW w:w="1154" w:type="dxa"/>
            <w:vMerge w:val="continue"/>
            <w:noWrap/>
            <w:vAlign w:val="center"/>
          </w:tcPr>
          <w:p w14:paraId="1A4B3EA4">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2928" w:type="dxa"/>
            <w:noWrap/>
            <w:vAlign w:val="center"/>
          </w:tcPr>
          <w:p w14:paraId="53AECFE6">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优良水体比例（%）</w:t>
            </w:r>
          </w:p>
        </w:tc>
        <w:tc>
          <w:tcPr>
            <w:tcW w:w="1183" w:type="dxa"/>
            <w:noWrap/>
            <w:vAlign w:val="center"/>
          </w:tcPr>
          <w:p w14:paraId="746A9ED7">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100</w:t>
            </w:r>
          </w:p>
        </w:tc>
        <w:tc>
          <w:tcPr>
            <w:tcW w:w="1183" w:type="dxa"/>
            <w:noWrap/>
            <w:vAlign w:val="center"/>
          </w:tcPr>
          <w:p w14:paraId="395C9AB6">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达到上级目标要求</w:t>
            </w:r>
          </w:p>
        </w:tc>
        <w:tc>
          <w:tcPr>
            <w:tcW w:w="1183" w:type="dxa"/>
            <w:noWrap/>
            <w:vAlign w:val="center"/>
          </w:tcPr>
          <w:p w14:paraId="30A814A8">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w:t>
            </w:r>
          </w:p>
        </w:tc>
        <w:tc>
          <w:tcPr>
            <w:tcW w:w="1121" w:type="dxa"/>
            <w:noWrap/>
            <w:vAlign w:val="center"/>
          </w:tcPr>
          <w:p w14:paraId="3B2D3105">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约束性</w:t>
            </w:r>
          </w:p>
        </w:tc>
      </w:tr>
      <w:tr w14:paraId="2D9B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64" w:type="dxa"/>
            <w:noWrap/>
            <w:vAlign w:val="center"/>
          </w:tcPr>
          <w:p w14:paraId="572744AF">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18</w:t>
            </w:r>
          </w:p>
        </w:tc>
        <w:tc>
          <w:tcPr>
            <w:tcW w:w="1154" w:type="dxa"/>
            <w:vMerge w:val="continue"/>
            <w:noWrap/>
            <w:vAlign w:val="center"/>
          </w:tcPr>
          <w:p w14:paraId="1882D401">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2928" w:type="dxa"/>
            <w:noWrap/>
            <w:vAlign w:val="center"/>
          </w:tcPr>
          <w:p w14:paraId="6E0BE973">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森林覆盖率（%）</w:t>
            </w:r>
          </w:p>
        </w:tc>
        <w:tc>
          <w:tcPr>
            <w:tcW w:w="1183" w:type="dxa"/>
            <w:noWrap/>
            <w:vAlign w:val="center"/>
          </w:tcPr>
          <w:p w14:paraId="5A07DEBB">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22.34</w:t>
            </w:r>
          </w:p>
        </w:tc>
        <w:tc>
          <w:tcPr>
            <w:tcW w:w="1183" w:type="dxa"/>
            <w:noWrap/>
            <w:vAlign w:val="center"/>
          </w:tcPr>
          <w:p w14:paraId="7AF892CF">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22.34</w:t>
            </w:r>
          </w:p>
        </w:tc>
        <w:tc>
          <w:tcPr>
            <w:tcW w:w="1183" w:type="dxa"/>
            <w:noWrap/>
            <w:vAlign w:val="center"/>
          </w:tcPr>
          <w:p w14:paraId="2D24F81A">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w:t>
            </w:r>
          </w:p>
        </w:tc>
        <w:tc>
          <w:tcPr>
            <w:tcW w:w="1121" w:type="dxa"/>
            <w:noWrap/>
            <w:vAlign w:val="center"/>
          </w:tcPr>
          <w:p w14:paraId="7E4EBC4F">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约束性</w:t>
            </w:r>
          </w:p>
        </w:tc>
      </w:tr>
      <w:tr w14:paraId="4B5B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64" w:type="dxa"/>
            <w:noWrap/>
            <w:vAlign w:val="center"/>
          </w:tcPr>
          <w:p w14:paraId="301E91B4">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19</w:t>
            </w:r>
          </w:p>
        </w:tc>
        <w:tc>
          <w:tcPr>
            <w:tcW w:w="1154" w:type="dxa"/>
            <w:vMerge w:val="restart"/>
            <w:noWrap/>
            <w:vAlign w:val="center"/>
          </w:tcPr>
          <w:p w14:paraId="1FC86EC6">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安全保障（2项）</w:t>
            </w:r>
          </w:p>
        </w:tc>
        <w:tc>
          <w:tcPr>
            <w:tcW w:w="2928" w:type="dxa"/>
            <w:noWrap/>
            <w:vAlign w:val="center"/>
          </w:tcPr>
          <w:p w14:paraId="674E673C">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粮食综合生产能力（万吨）</w:t>
            </w:r>
          </w:p>
        </w:tc>
        <w:tc>
          <w:tcPr>
            <w:tcW w:w="1183" w:type="dxa"/>
            <w:noWrap/>
            <w:vAlign w:val="center"/>
          </w:tcPr>
          <w:p w14:paraId="45DB69AC">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w:t>
            </w:r>
          </w:p>
        </w:tc>
        <w:tc>
          <w:tcPr>
            <w:tcW w:w="1183" w:type="dxa"/>
            <w:noWrap/>
            <w:vAlign w:val="center"/>
          </w:tcPr>
          <w:p w14:paraId="0D71D583">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w:t>
            </w:r>
          </w:p>
        </w:tc>
        <w:tc>
          <w:tcPr>
            <w:tcW w:w="1183" w:type="dxa"/>
            <w:noWrap/>
            <w:vAlign w:val="center"/>
          </w:tcPr>
          <w:p w14:paraId="6318B6E3">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达到上级目标要求</w:t>
            </w:r>
          </w:p>
        </w:tc>
        <w:tc>
          <w:tcPr>
            <w:tcW w:w="1121" w:type="dxa"/>
            <w:noWrap/>
            <w:vAlign w:val="center"/>
          </w:tcPr>
          <w:p w14:paraId="462D1A6D">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约束性</w:t>
            </w:r>
          </w:p>
        </w:tc>
      </w:tr>
      <w:tr w14:paraId="66E4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464" w:type="dxa"/>
            <w:noWrap/>
            <w:vAlign w:val="center"/>
          </w:tcPr>
          <w:p w14:paraId="1430842A">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20</w:t>
            </w:r>
          </w:p>
        </w:tc>
        <w:tc>
          <w:tcPr>
            <w:tcW w:w="1154" w:type="dxa"/>
            <w:vMerge w:val="continue"/>
            <w:noWrap/>
            <w:vAlign w:val="center"/>
          </w:tcPr>
          <w:p w14:paraId="244B0AA3">
            <w:pPr>
              <w:snapToGrid w:val="0"/>
              <w:spacing w:line="240" w:lineRule="auto"/>
              <w:ind w:firstLine="0" w:firstLineChars="0"/>
              <w:jc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2928" w:type="dxa"/>
            <w:noWrap/>
            <w:vAlign w:val="center"/>
          </w:tcPr>
          <w:p w14:paraId="6DE3DEB6">
            <w:pPr>
              <w:widowControl/>
              <w:snapToGrid w:val="0"/>
              <w:spacing w:line="240" w:lineRule="auto"/>
              <w:ind w:firstLine="0" w:firstLineChars="0"/>
              <w:jc w:val="left"/>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能源综合生产能力（万吨标煤）</w:t>
            </w:r>
          </w:p>
        </w:tc>
        <w:tc>
          <w:tcPr>
            <w:tcW w:w="1183" w:type="dxa"/>
            <w:noWrap/>
            <w:vAlign w:val="center"/>
          </w:tcPr>
          <w:p w14:paraId="59E3E19A">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达到上级目标要求</w:t>
            </w:r>
          </w:p>
        </w:tc>
        <w:tc>
          <w:tcPr>
            <w:tcW w:w="1183" w:type="dxa"/>
            <w:noWrap/>
            <w:vAlign w:val="center"/>
          </w:tcPr>
          <w:p w14:paraId="1652C9F5">
            <w:pPr>
              <w:widowControl/>
              <w:snapToGrid w:val="0"/>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达到上级目标要求</w:t>
            </w:r>
          </w:p>
        </w:tc>
        <w:tc>
          <w:tcPr>
            <w:tcW w:w="1183" w:type="dxa"/>
            <w:noWrap/>
            <w:vAlign w:val="center"/>
          </w:tcPr>
          <w:p w14:paraId="011A7CE5">
            <w:pPr>
              <w:widowControl/>
              <w:snapToGrid w:val="0"/>
              <w:spacing w:line="240" w:lineRule="auto"/>
              <w:ind w:firstLine="0" w:firstLineChars="0"/>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w:t>
            </w:r>
          </w:p>
        </w:tc>
        <w:tc>
          <w:tcPr>
            <w:tcW w:w="1121" w:type="dxa"/>
            <w:noWrap/>
            <w:vAlign w:val="center"/>
          </w:tcPr>
          <w:p w14:paraId="70361C34">
            <w:pPr>
              <w:widowControl/>
              <w:snapToGrid w:val="0"/>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kern w:val="0"/>
                <w:sz w:val="21"/>
                <w:szCs w:val="21"/>
                <w:highlight w:val="none"/>
                <w:lang w:bidi="ar"/>
              </w:rPr>
              <w:t>约束性</w:t>
            </w:r>
          </w:p>
        </w:tc>
      </w:tr>
    </w:tbl>
    <w:p w14:paraId="7786A0D5">
      <w:pPr>
        <w:spacing w:line="560" w:lineRule="exact"/>
        <w:ind w:firstLine="422"/>
        <w:rPr>
          <w:rFonts w:hint="default" w:ascii="Times New Roman" w:hAnsi="Times New Roman" w:cs="Times New Roman"/>
          <w:color w:val="000000" w:themeColor="text1"/>
          <w:sz w:val="21"/>
          <w:szCs w:val="21"/>
          <w:highlight w:val="none"/>
          <w14:textFill>
            <w14:solidFill>
              <w14:schemeClr w14:val="tx1"/>
            </w14:solidFill>
          </w14:textFill>
        </w:rPr>
      </w:pPr>
      <w:bookmarkStart w:id="11" w:name="_Toc211847877"/>
      <w:r>
        <w:rPr>
          <w:rFonts w:hint="default" w:ascii="Times New Roman" w:hAnsi="Times New Roman" w:cs="Times New Roman"/>
          <w:b/>
          <w:bCs/>
          <w:color w:val="000000" w:themeColor="text1"/>
          <w:sz w:val="21"/>
          <w:szCs w:val="21"/>
          <w:highlight w:val="none"/>
          <w14:textFill>
            <w14:solidFill>
              <w14:schemeClr w14:val="tx1"/>
            </w14:solidFill>
          </w14:textFill>
        </w:rPr>
        <w:t>备注：</w:t>
      </w:r>
      <w:r>
        <w:rPr>
          <w:rFonts w:hint="default" w:ascii="Times New Roman" w:hAnsi="Times New Roman" w:cs="Times New Roman"/>
          <w:color w:val="000000" w:themeColor="text1"/>
          <w:sz w:val="21"/>
          <w:szCs w:val="21"/>
          <w:highlight w:val="none"/>
          <w14:textFill>
            <w14:solidFill>
              <w14:schemeClr w14:val="tx1"/>
            </w14:solidFill>
          </w14:textFill>
        </w:rPr>
        <w:t>[]为5年累计数。</w:t>
      </w:r>
    </w:p>
    <w:p w14:paraId="02D51241">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东河区“十五五”经济社会发展主要指标，共设置20项，其中预期性指标13项，约束性指标7项：</w:t>
      </w:r>
    </w:p>
    <w:p w14:paraId="4329F94A">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——“经济发展”类3项。</w:t>
      </w:r>
      <w:r>
        <w:rPr>
          <w:rFonts w:hint="default" w:ascii="Times New Roman" w:hAnsi="Times New Roman" w:cs="Times New Roman"/>
          <w:color w:val="000000" w:themeColor="text1"/>
          <w:szCs w:val="32"/>
          <w:highlight w:val="none"/>
          <w14:textFill>
            <w14:solidFill>
              <w14:schemeClr w14:val="tx1"/>
            </w14:solidFill>
          </w14:textFill>
        </w:rPr>
        <w:t>分别为地区生产总值增长率、全员劳动生产率增长、常住人口城镇化率。</w:t>
      </w:r>
    </w:p>
    <w:p w14:paraId="3C4D7622">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——“创新驱动”类3项。</w:t>
      </w:r>
      <w:r>
        <w:rPr>
          <w:rFonts w:hint="default" w:ascii="Times New Roman" w:hAnsi="Times New Roman" w:cs="Times New Roman"/>
          <w:color w:val="000000" w:themeColor="text1"/>
          <w:szCs w:val="32"/>
          <w:highlight w:val="none"/>
          <w14:textFill>
            <w14:solidFill>
              <w14:schemeClr w14:val="tx1"/>
            </w14:solidFill>
          </w14:textFill>
        </w:rPr>
        <w:t>分别为全社会研发经费投入增长、数字经济核心产业增加值占地区生产总值比重、高价值发明专利拥有量。</w:t>
      </w:r>
    </w:p>
    <w:p w14:paraId="02B9D690">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——“民生福祉”类7项。</w:t>
      </w:r>
      <w:r>
        <w:rPr>
          <w:rFonts w:hint="default" w:ascii="Times New Roman" w:hAnsi="Times New Roman" w:cs="Times New Roman"/>
          <w:color w:val="000000" w:themeColor="text1"/>
          <w:szCs w:val="32"/>
          <w:highlight w:val="none"/>
          <w14:textFill>
            <w14:solidFill>
              <w14:schemeClr w14:val="tx1"/>
            </w14:solidFill>
          </w14:textFill>
        </w:rPr>
        <w:t>分别为城镇新增就业人数、居民人均可支配收入增长、</w:t>
      </w:r>
      <w:r>
        <w:rPr>
          <w:rFonts w:hint="eastAsia" w:cs="Times New Roman"/>
          <w:color w:val="000000" w:themeColor="text1"/>
          <w:szCs w:val="32"/>
          <w:highlight w:val="none"/>
          <w:lang w:eastAsia="zh-CN"/>
          <w14:textFill>
            <w14:solidFill>
              <w14:schemeClr w14:val="tx1"/>
            </w14:solidFill>
          </w14:textFill>
        </w:rPr>
        <w:t>劳动年龄人口平均受教育年限</w:t>
      </w:r>
      <w:r>
        <w:rPr>
          <w:rFonts w:hint="default" w:ascii="Times New Roman" w:hAnsi="Times New Roman" w:cs="Times New Roman"/>
          <w:color w:val="000000" w:themeColor="text1"/>
          <w:szCs w:val="32"/>
          <w:highlight w:val="none"/>
          <w14:textFill>
            <w14:solidFill>
              <w14:schemeClr w14:val="tx1"/>
            </w14:solidFill>
          </w14:textFill>
        </w:rPr>
        <w:t>、人均预期寿命、每千人拥有医护人员数、养老机构护理型床位占比、</w:t>
      </w:r>
      <w:r>
        <w:rPr>
          <w:rFonts w:hint="eastAsia" w:cs="Times New Roman"/>
          <w:color w:val="000000" w:themeColor="text1"/>
          <w:szCs w:val="32"/>
          <w:highlight w:val="none"/>
          <w:lang w:eastAsia="zh-CN"/>
          <w14:textFill>
            <w14:solidFill>
              <w14:schemeClr w14:val="tx1"/>
            </w14:solidFill>
          </w14:textFill>
        </w:rPr>
        <w:t>3岁以下婴幼儿入托率提高</w:t>
      </w:r>
      <w:r>
        <w:rPr>
          <w:rFonts w:hint="default" w:ascii="Times New Roman" w:hAnsi="Times New Roman" w:cs="Times New Roman"/>
          <w:color w:val="000000" w:themeColor="text1"/>
          <w:szCs w:val="32"/>
          <w:highlight w:val="none"/>
          <w14:textFill>
            <w14:solidFill>
              <w14:schemeClr w14:val="tx1"/>
            </w14:solidFill>
          </w14:textFill>
        </w:rPr>
        <w:t>。</w:t>
      </w:r>
    </w:p>
    <w:p w14:paraId="2E690E7B">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——“绿色低碳”类5项。</w:t>
      </w:r>
      <w:r>
        <w:rPr>
          <w:rFonts w:hint="default" w:ascii="Times New Roman" w:hAnsi="Times New Roman" w:cs="Times New Roman"/>
          <w:color w:val="000000" w:themeColor="text1"/>
          <w:szCs w:val="32"/>
          <w:highlight w:val="none"/>
          <w14:textFill>
            <w14:solidFill>
              <w14:schemeClr w14:val="tx1"/>
            </w14:solidFill>
          </w14:textFill>
        </w:rPr>
        <w:t>分别为非化石能源占能源消费总量比重、单位GDP二氧化碳排放降幅、城市细颗粒物（PM</w:t>
      </w:r>
      <w:r>
        <w:rPr>
          <w:rFonts w:hint="default" w:ascii="Times New Roman" w:hAnsi="Times New Roman" w:cs="Times New Roman"/>
          <w:color w:val="000000" w:themeColor="text1"/>
          <w:szCs w:val="32"/>
          <w:highlight w:val="none"/>
          <w:vertAlign w:val="subscript"/>
          <w14:textFill>
            <w14:solidFill>
              <w14:schemeClr w14:val="tx1"/>
            </w14:solidFill>
          </w14:textFill>
        </w:rPr>
        <w:t>2.5</w:t>
      </w:r>
      <w:r>
        <w:rPr>
          <w:rFonts w:hint="default" w:ascii="Times New Roman" w:hAnsi="Times New Roman" w:cs="Times New Roman"/>
          <w:color w:val="000000" w:themeColor="text1"/>
          <w:szCs w:val="32"/>
          <w:highlight w:val="none"/>
          <w14:textFill>
            <w14:solidFill>
              <w14:schemeClr w14:val="tx1"/>
            </w14:solidFill>
          </w14:textFill>
        </w:rPr>
        <w:t>）浓度、优良水体比例、森林覆盖率。</w:t>
      </w:r>
    </w:p>
    <w:p w14:paraId="0F5D590F">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——“安全保障”类2项。</w:t>
      </w:r>
      <w:r>
        <w:rPr>
          <w:rFonts w:hint="default" w:ascii="Times New Roman" w:hAnsi="Times New Roman" w:cs="Times New Roman"/>
          <w:color w:val="000000" w:themeColor="text1"/>
          <w:szCs w:val="32"/>
          <w:highlight w:val="none"/>
          <w14:textFill>
            <w14:solidFill>
              <w14:schemeClr w14:val="tx1"/>
            </w14:solidFill>
          </w14:textFill>
        </w:rPr>
        <w:t>为粮食综合生产能力、能源综合生产能力。</w:t>
      </w:r>
    </w:p>
    <w:p w14:paraId="0A44F85E">
      <w:pPr>
        <w:spacing w:before="217" w:beforeLines="50" w:after="217" w:afterLines="50" w:line="560" w:lineRule="exact"/>
        <w:ind w:firstLine="0" w:firstLineChars="0"/>
        <w:jc w:val="center"/>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12" w:name="_Toc1285"/>
      <w:r>
        <w:rPr>
          <w:rFonts w:hint="default" w:ascii="Times New Roman" w:hAnsi="Times New Roman" w:eastAsia="黑体" w:cs="Times New Roman"/>
          <w:color w:val="000000" w:themeColor="text1"/>
          <w:szCs w:val="32"/>
          <w:highlight w:val="none"/>
          <w14:textFill>
            <w14:solidFill>
              <w14:schemeClr w14:val="tx1"/>
            </w14:solidFill>
          </w14:textFill>
        </w:rPr>
        <w:t>第三章 铸牢中华民族共同体意识，深化民族团结进步创建</w:t>
      </w:r>
      <w:bookmarkEnd w:id="12"/>
    </w:p>
    <w:p w14:paraId="12F8E1DA">
      <w:pPr>
        <w:spacing w:before="217" w:beforeLines="50" w:after="217" w:afterLines="50" w:line="560" w:lineRule="exact"/>
        <w:ind w:firstLine="640"/>
        <w:rPr>
          <w:rFonts w:hint="default" w:ascii="Times New Roman" w:hAnsi="Times New Roman" w:cs="Times New Roman"/>
          <w:color w:val="000000" w:themeColor="text1"/>
          <w:highlight w:val="none"/>
          <w14:textFill>
            <w14:solidFill>
              <w14:schemeClr w14:val="tx1"/>
            </w14:solidFill>
          </w14:textFill>
        </w:rPr>
      </w:pPr>
      <w:bookmarkStart w:id="13" w:name="_Hlk214342015"/>
      <w:r>
        <w:rPr>
          <w:rFonts w:hint="default" w:ascii="Times New Roman" w:hAnsi="Times New Roman" w:cs="Times New Roman"/>
          <w:color w:val="000000" w:themeColor="text1"/>
          <w:highlight w:val="none"/>
          <w14:textFill>
            <w14:solidFill>
              <w14:schemeClr w14:val="tx1"/>
            </w14:solidFill>
          </w14:textFill>
        </w:rPr>
        <w:t>以铸牢中华民族共同体意识为工作</w:t>
      </w:r>
      <w:bookmarkEnd w:id="13"/>
      <w:r>
        <w:rPr>
          <w:rFonts w:hint="default" w:ascii="Times New Roman" w:hAnsi="Times New Roman" w:cs="Times New Roman"/>
          <w:color w:val="000000" w:themeColor="text1"/>
          <w:highlight w:val="none"/>
          <w14:textFill>
            <w14:solidFill>
              <w14:schemeClr w14:val="tx1"/>
            </w14:solidFill>
          </w14:textFill>
        </w:rPr>
        <w:t>主线，推动经济建设、政治建设、文化建设、社会建设、生态文明建设和党的建设等工作都紧紧围绕这条主线开展，有形有感有效铸牢中华民族共同体意识工作，在全方位建设“模范自治区”实践中走在前。</w:t>
      </w:r>
    </w:p>
    <w:p w14:paraId="70FD2868">
      <w:pPr>
        <w:pStyle w:val="79"/>
        <w:spacing w:before="0" w:beforeLines="0" w:after="0" w:afterLines="0" w:line="240" w:lineRule="auto"/>
        <w:ind w:firstLine="643"/>
        <w:outlineLvl w:val="0"/>
        <w:rPr>
          <w:rFonts w:hint="default" w:ascii="Times New Roman" w:hAnsi="Times New Roman" w:cs="Times New Roman"/>
          <w:b/>
          <w:bCs/>
          <w:color w:val="000000" w:themeColor="text1"/>
          <w:highlight w:val="none"/>
          <w14:textFill>
            <w14:solidFill>
              <w14:schemeClr w14:val="tx1"/>
            </w14:solidFill>
          </w14:textFill>
        </w:rPr>
      </w:pPr>
      <w:bookmarkStart w:id="14" w:name="_Toc28144"/>
      <w:r>
        <w:rPr>
          <w:rFonts w:hint="default" w:ascii="Times New Roman" w:hAnsi="Times New Roman" w:cs="Times New Roman"/>
          <w:b/>
          <w:bCs/>
          <w:color w:val="000000" w:themeColor="text1"/>
          <w:highlight w:val="none"/>
          <w14:textFill>
            <w14:solidFill>
              <w14:schemeClr w14:val="tx1"/>
            </w14:solidFill>
          </w14:textFill>
        </w:rPr>
        <w:t>第一节 健全常态化长效化工作机制</w:t>
      </w:r>
      <w:bookmarkEnd w:id="14"/>
    </w:p>
    <w:p w14:paraId="3B04112C">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强化各级党委（党组）和领导干部的主线意识，落实铸牢中华民族共同体意识工作责任制和工作协调机制，确保各项任务围绕主线展开、向主线发力。把有利于强化中华民族共同性、推进中华民族共同体建设作为出台政策措施首要考虑，做好规范性文件前置审核、备案审查工作。推动重大经济社会发展举措贯彻主线要求，在各项改革发展中赋予“三个意义”的实践内涵。提升民族事务治理法治化水平，依法保障各族群众合法权益，有效防范化解民族领域风险隐患。</w:t>
      </w:r>
    </w:p>
    <w:p w14:paraId="582E686E">
      <w:pPr>
        <w:pStyle w:val="79"/>
        <w:spacing w:before="0" w:beforeLines="0" w:after="0" w:afterLines="0" w:line="240" w:lineRule="auto"/>
        <w:ind w:firstLine="643"/>
        <w:outlineLvl w:val="0"/>
        <w:rPr>
          <w:rFonts w:hint="default" w:ascii="Times New Roman" w:hAnsi="Times New Roman" w:cs="Times New Roman"/>
          <w:b/>
          <w:bCs/>
          <w:color w:val="000000" w:themeColor="text1"/>
          <w:highlight w:val="none"/>
          <w14:textFill>
            <w14:solidFill>
              <w14:schemeClr w14:val="tx1"/>
            </w14:solidFill>
          </w14:textFill>
        </w:rPr>
      </w:pPr>
      <w:bookmarkStart w:id="15" w:name="_Toc4631"/>
      <w:r>
        <w:rPr>
          <w:rFonts w:hint="default" w:ascii="Times New Roman" w:hAnsi="Times New Roman" w:cs="Times New Roman"/>
          <w:b/>
          <w:bCs/>
          <w:color w:val="000000" w:themeColor="text1"/>
          <w:highlight w:val="none"/>
          <w14:textFill>
            <w14:solidFill>
              <w14:schemeClr w14:val="tx1"/>
            </w14:solidFill>
          </w14:textFill>
        </w:rPr>
        <w:t>第二节 构建高质量研究宣传教育体系</w:t>
      </w:r>
      <w:bookmarkEnd w:id="15"/>
    </w:p>
    <w:p w14:paraId="07691EDA">
      <w:pPr>
        <w:spacing w:line="560" w:lineRule="exact"/>
        <w:ind w:firstLine="640"/>
        <w:rPr>
          <w:rFonts w:hint="default" w:ascii="Times New Roman" w:hAnsi="Times New Roman" w:cs="Times New Roman"/>
          <w:highlight w:val="none"/>
        </w:rPr>
      </w:pPr>
      <w:r>
        <w:rPr>
          <w:rFonts w:hint="default" w:ascii="Times New Roman" w:hAnsi="Times New Roman" w:cs="Times New Roman"/>
          <w:color w:val="000000" w:themeColor="text1"/>
          <w:highlight w:val="none"/>
          <w14:textFill>
            <w14:solidFill>
              <w14:schemeClr w14:val="tx1"/>
            </w14:solidFill>
          </w14:textFill>
        </w:rPr>
        <w:t>将主线要求全面纳入党的建设、意识形态工作责任制、政治机关建设、巡察监督和政绩考核，融入干部教育、党员教育、国民教育和社会教育体系，写入各级各部门单位“三定”规定、议事协调机制及行业规章、村规民约，推动责任法定化、全覆盖，构建铸牢中华民族共同体意识研究宣传教育常态化机制。依托王若飞纪念馆、包头金街、老包头走西口历史文化街区等特色资源，构建集现场教学、案例研讨、互动体验于一体的多元化课程体系，着力培养专业师资力量，深入开展专项课题研究，全面提升铸牢中华民族共同体意识的理论研究高度与教育培训深度。常态化开展“</w:t>
      </w:r>
      <w:r>
        <w:rPr>
          <w:rFonts w:hint="eastAsia" w:cs="Times New Roman"/>
          <w:color w:val="000000" w:themeColor="text1"/>
          <w:highlight w:val="none"/>
          <w:lang w:eastAsia="zh-CN"/>
          <w14:textFill>
            <w14:solidFill>
              <w14:schemeClr w14:val="tx1"/>
            </w14:solidFill>
          </w14:textFill>
        </w:rPr>
        <w:t>听党话、感党恩、跟党走</w:t>
      </w:r>
      <w:r>
        <w:rPr>
          <w:rFonts w:hint="default" w:ascii="Times New Roman" w:hAnsi="Times New Roman" w:cs="Times New Roman"/>
          <w:color w:val="000000" w:themeColor="text1"/>
          <w:highlight w:val="none"/>
          <w14:textFill>
            <w14:solidFill>
              <w14:schemeClr w14:val="tx1"/>
            </w14:solidFill>
          </w14:textFill>
        </w:rPr>
        <w:t>”群众教育，讲好“六句话”的事实和道理。深入挖掘与阐释铸牢中华民族共同体意识的实践史实与时代价值，不断拓展宣传教育平台矩阵，着力提升教育阵地与主题线路建设水平，推动铸牢中华民族共同体意识宣传教育走深走实。把主线要求贯彻落实到公共文化设施、旅游景观陈列等各方面，让宣传教育更具感染力、更有渗透力。</w:t>
      </w:r>
    </w:p>
    <w:p w14:paraId="08529C9B">
      <w:pPr>
        <w:pStyle w:val="79"/>
        <w:spacing w:before="0" w:beforeLines="0" w:after="0" w:afterLines="0" w:line="240" w:lineRule="auto"/>
        <w:ind w:firstLine="643"/>
        <w:outlineLvl w:val="0"/>
        <w:rPr>
          <w:rFonts w:hint="default" w:ascii="Times New Roman" w:hAnsi="Times New Roman" w:cs="Times New Roman"/>
          <w:b/>
          <w:bCs/>
          <w:color w:val="000000" w:themeColor="text1"/>
          <w:highlight w:val="none"/>
          <w14:textFill>
            <w14:solidFill>
              <w14:schemeClr w14:val="tx1"/>
            </w14:solidFill>
          </w14:textFill>
        </w:rPr>
      </w:pPr>
      <w:bookmarkStart w:id="16" w:name="_Toc9119"/>
      <w:r>
        <w:rPr>
          <w:rFonts w:hint="default" w:ascii="Times New Roman" w:hAnsi="Times New Roman" w:cs="Times New Roman"/>
          <w:b/>
          <w:bCs/>
          <w:color w:val="000000" w:themeColor="text1"/>
          <w:highlight w:val="none"/>
          <w14:textFill>
            <w14:solidFill>
              <w14:schemeClr w14:val="tx1"/>
            </w14:solidFill>
          </w14:textFill>
        </w:rPr>
        <w:t>第三节 深化民族团结进步创建</w:t>
      </w:r>
      <w:bookmarkEnd w:id="16"/>
    </w:p>
    <w:p w14:paraId="2D0EE53B">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始终坚持党对民族工作的全面领导，健全党委统一领导、政府依法管理、统战部门牵头协调、民族工作部门履职尽责、各部门通力合作、全社会共同参与的新时代党的民族工作格局。将民族团结创建融入“法治政府”“平安东河”建设，精心打造“石榴花开·锦绣东河”特色品牌，推动民族团结进步创建工作进机关</w:t>
      </w:r>
      <w:r>
        <w:rPr>
          <w:rFonts w:hint="default" w:ascii="Times New Roman" w:hAnsi="Times New Roman" w:cs="Times New Roman"/>
          <w:color w:val="auto"/>
          <w:szCs w:val="32"/>
          <w:highlight w:val="none"/>
        </w:rPr>
        <w:t>、进企业、进学校、进乡镇</w:t>
      </w:r>
      <w:r>
        <w:rPr>
          <w:rFonts w:hint="eastAsia" w:cs="Times New Roman"/>
          <w:color w:val="auto"/>
          <w:szCs w:val="32"/>
          <w:highlight w:val="none"/>
          <w:lang w:eastAsia="zh-CN"/>
        </w:rPr>
        <w:t>（</w:t>
      </w:r>
      <w:r>
        <w:rPr>
          <w:rFonts w:hint="eastAsia" w:cs="Times New Roman"/>
          <w:color w:val="auto"/>
          <w:szCs w:val="32"/>
          <w:highlight w:val="none"/>
          <w:lang w:val="en-US" w:eastAsia="zh-CN"/>
        </w:rPr>
        <w:t>街道）、</w:t>
      </w:r>
      <w:r>
        <w:rPr>
          <w:rFonts w:hint="default" w:ascii="Times New Roman" w:hAnsi="Times New Roman" w:cs="Times New Roman"/>
          <w:color w:val="auto"/>
          <w:szCs w:val="32"/>
          <w:highlight w:val="none"/>
        </w:rPr>
        <w:t>进</w:t>
      </w:r>
      <w:r>
        <w:rPr>
          <w:rFonts w:hint="eastAsia" w:cs="Times New Roman"/>
          <w:color w:val="auto"/>
          <w:szCs w:val="32"/>
          <w:highlight w:val="none"/>
          <w:lang w:val="en-US" w:eastAsia="zh-CN"/>
        </w:rPr>
        <w:t>社区（村）</w:t>
      </w:r>
      <w:r>
        <w:rPr>
          <w:rFonts w:hint="default" w:ascii="Times New Roman" w:hAnsi="Times New Roman" w:cs="Times New Roman"/>
          <w:color w:val="auto"/>
          <w:szCs w:val="32"/>
          <w:highlight w:val="none"/>
        </w:rPr>
        <w:t>、进连队、进宗教活动场所、进网络，覆盖各行业各领域，全力争创全国民族团结进步示范区。深入实施各族青少年交流计划、各族群众互嵌式发展计划、旅游促进各民族交往交流交融计划，促进各民族</w:t>
      </w:r>
      <w:r>
        <w:rPr>
          <w:rFonts w:hint="eastAsia" w:cs="Times New Roman"/>
          <w:color w:val="auto"/>
          <w:szCs w:val="32"/>
          <w:highlight w:val="none"/>
          <w:lang w:val="en-US" w:eastAsia="zh-CN"/>
        </w:rPr>
        <w:t>广泛交往、全面交流、深度交融</w:t>
      </w:r>
      <w:r>
        <w:rPr>
          <w:rFonts w:hint="default" w:ascii="Times New Roman" w:hAnsi="Times New Roman" w:cs="Times New Roman"/>
          <w:color w:val="auto"/>
          <w:szCs w:val="32"/>
          <w:highlight w:val="none"/>
        </w:rPr>
        <w:t>，创造更加完善的各族群众共居共学、共建共享、共事共乐的社会</w:t>
      </w:r>
      <w:r>
        <w:rPr>
          <w:rFonts w:hint="eastAsia" w:cs="Times New Roman"/>
          <w:color w:val="auto"/>
          <w:szCs w:val="32"/>
          <w:highlight w:val="none"/>
          <w:lang w:eastAsia="zh-CN"/>
        </w:rPr>
        <w:t>条件。</w:t>
      </w:r>
      <w:r>
        <w:rPr>
          <w:rFonts w:hint="eastAsia" w:cs="Times New Roman"/>
          <w:color w:val="auto"/>
          <w:szCs w:val="32"/>
          <w:highlight w:val="none"/>
          <w:lang w:val="en-US" w:eastAsia="zh-CN"/>
        </w:rPr>
        <w:t>不断增进</w:t>
      </w:r>
      <w:r>
        <w:rPr>
          <w:rFonts w:hint="default" w:ascii="Times New Roman" w:hAnsi="Times New Roman" w:cs="Times New Roman"/>
          <w:color w:val="auto"/>
          <w:szCs w:val="32"/>
          <w:highlight w:val="none"/>
        </w:rPr>
        <w:t>各族干部群众“五个认同”，加强民族地区干部和人才队伍建设，开展各种主题活动，</w:t>
      </w:r>
      <w:r>
        <w:rPr>
          <w:rFonts w:hint="eastAsia" w:cs="Times New Roman"/>
          <w:color w:val="auto"/>
          <w:szCs w:val="32"/>
          <w:highlight w:val="none"/>
          <w:lang w:val="en-US" w:eastAsia="zh-CN"/>
        </w:rPr>
        <w:t>构筑中华民族共有精神家园</w:t>
      </w:r>
      <w:r>
        <w:rPr>
          <w:rFonts w:hint="default" w:ascii="Times New Roman" w:hAnsi="Times New Roman" w:cs="Times New Roman"/>
          <w:color w:val="auto"/>
          <w:szCs w:val="32"/>
          <w:highlight w:val="none"/>
        </w:rPr>
        <w:t>。深入挖掘基层民族团结进步模范事迹，精心做好民族团结进步模范评选表彰工作。加强党的民</w:t>
      </w:r>
      <w:r>
        <w:rPr>
          <w:rFonts w:hint="default" w:ascii="Times New Roman" w:hAnsi="Times New Roman" w:cs="Times New Roman"/>
          <w:color w:val="000000" w:themeColor="text1"/>
          <w:szCs w:val="32"/>
          <w:highlight w:val="none"/>
          <w14:textFill>
            <w14:solidFill>
              <w14:schemeClr w14:val="tx1"/>
            </w14:solidFill>
          </w14:textFill>
        </w:rPr>
        <w:t xml:space="preserve">族理论政策和法律法规宣传，全面推广普及国家通用语言文字，推行使用国家统编教材，加强和规范少数民族语言文字翻译工作。 </w:t>
      </w:r>
    </w:p>
    <w:p w14:paraId="2F7CC08E">
      <w:pPr>
        <w:spacing w:line="560" w:lineRule="exact"/>
        <w:ind w:firstLine="0" w:firstLineChars="0"/>
        <w:jc w:val="center"/>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17" w:name="_Toc25861"/>
      <w:r>
        <w:rPr>
          <w:rFonts w:hint="default" w:ascii="Times New Roman" w:hAnsi="Times New Roman" w:eastAsia="黑体" w:cs="Times New Roman"/>
          <w:color w:val="000000" w:themeColor="text1"/>
          <w:szCs w:val="32"/>
          <w:highlight w:val="none"/>
          <w14:textFill>
            <w14:solidFill>
              <w14:schemeClr w14:val="tx1"/>
            </w14:solidFill>
          </w14:textFill>
        </w:rPr>
        <w:t>第四章 因地制宜发展新质生产力，</w:t>
      </w:r>
      <w:bookmarkEnd w:id="17"/>
    </w:p>
    <w:p w14:paraId="5FF3E34C">
      <w:pPr>
        <w:spacing w:line="560" w:lineRule="exact"/>
        <w:ind w:firstLine="0" w:firstLineChars="0"/>
        <w:jc w:val="center"/>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18" w:name="_Toc12039"/>
      <w:r>
        <w:rPr>
          <w:rFonts w:hint="default" w:ascii="Times New Roman" w:hAnsi="Times New Roman" w:eastAsia="黑体" w:cs="Times New Roman"/>
          <w:color w:val="000000" w:themeColor="text1"/>
          <w:szCs w:val="32"/>
          <w:highlight w:val="none"/>
          <w14:textFill>
            <w14:solidFill>
              <w14:schemeClr w14:val="tx1"/>
            </w14:solidFill>
          </w14:textFill>
        </w:rPr>
        <w:t>构建具有区域特色和竞争力的现代化产业体系</w:t>
      </w:r>
      <w:bookmarkEnd w:id="11"/>
      <w:bookmarkEnd w:id="18"/>
      <w:r>
        <w:rPr>
          <w:rFonts w:hint="default" w:ascii="Times New Roman" w:hAnsi="Times New Roman" w:eastAsia="黑体" w:cs="Times New Roman"/>
          <w:color w:val="000000" w:themeColor="text1"/>
          <w:szCs w:val="32"/>
          <w:highlight w:val="none"/>
          <w14:textFill>
            <w14:solidFill>
              <w14:schemeClr w14:val="tx1"/>
            </w14:solidFill>
          </w14:textFill>
        </w:rPr>
        <w:t xml:space="preserve"> </w:t>
      </w:r>
    </w:p>
    <w:p w14:paraId="2A63C10A">
      <w:pPr>
        <w:spacing w:before="217" w:beforeLines="50" w:after="217" w:afterLines="50"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依托地区资源禀赋和产业基础，坚持智能化、绿色化、融合化方向，统筹推动传统产业固本升级、新兴产业创新育新、现代服务业扩容提质，强化品牌塑造和市场拓展，全面构建特色鲜明、结构优化、韧性强劲的现代化产业体系。</w:t>
      </w:r>
    </w:p>
    <w:p w14:paraId="4FF15BB9">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19" w:name="_Toc5586"/>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第一节 加快建设我国北方最大的绿色铝加工基地</w:t>
      </w:r>
      <w:bookmarkEnd w:id="19"/>
    </w:p>
    <w:p w14:paraId="79589FCC">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进一步提升原料供应，推进中低端铝加工企业升级改造，发展高纯铝、汽车轻量化制造、高端型材、板带箔4条产业链，形成“一北一南”两大电解铝、再生铝加工基地，打响“东河绿铝制造”品牌，力争“十五五”末期，铝产业产值突破1000亿元。</w:t>
      </w:r>
    </w:p>
    <w:p w14:paraId="57F73BE9">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一是扩大原铝供给，强化下游保障。</w:t>
      </w:r>
      <w:r>
        <w:rPr>
          <w:rFonts w:hint="default" w:ascii="Times New Roman" w:hAnsi="Times New Roman" w:cs="Times New Roman"/>
          <w:color w:val="000000" w:themeColor="text1"/>
          <w:szCs w:val="32"/>
          <w:highlight w:val="none"/>
          <w14:textFill>
            <w14:solidFill>
              <w14:schemeClr w14:val="tx1"/>
            </w14:solidFill>
          </w14:textFill>
        </w:rPr>
        <w:t>在现有146万吨电解铝基础上，积极协调中铝集团调配或承接其他地区产能转移，大力引进再生铝回收及应用企业，提升区域电解铝供给能力，力争“十五五”末电解铝产能达到150万吨（其中绿铝42万吨），再生铝产能50万吨以上，外购铝锭100万吨以上，高纯铝产能10万吨以上，原铝产值达到350亿元以上。</w:t>
      </w:r>
    </w:p>
    <w:p w14:paraId="42C23B93">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二是聚焦重点领域，延伸产业链条。</w:t>
      </w:r>
      <w:r>
        <w:rPr>
          <w:rFonts w:hint="default" w:ascii="Times New Roman" w:hAnsi="Times New Roman" w:cs="Times New Roman"/>
          <w:color w:val="000000" w:themeColor="text1"/>
          <w:szCs w:val="32"/>
          <w:highlight w:val="none"/>
          <w14:textFill>
            <w14:solidFill>
              <w14:schemeClr w14:val="tx1"/>
            </w14:solidFill>
          </w14:textFill>
        </w:rPr>
        <w:t>聚焦高纯铝和铝基新材料两个领域，提升铝产业精深加工能力，提高产业链韧性，力争“十五五”末铝后加工产业产值达到650亿元以上。</w:t>
      </w:r>
    </w:p>
    <w:p w14:paraId="30745FC1">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做大高纯铝应用产业链。</w:t>
      </w:r>
      <w:r>
        <w:rPr>
          <w:rFonts w:hint="default" w:ascii="Times New Roman" w:hAnsi="Times New Roman" w:cs="Times New Roman"/>
          <w:color w:val="000000" w:themeColor="text1"/>
          <w:szCs w:val="32"/>
          <w:highlight w:val="none"/>
          <w14:textFill>
            <w14:solidFill>
              <w14:schemeClr w14:val="tx1"/>
            </w14:solidFill>
          </w14:textFill>
        </w:rPr>
        <w:t>依托包铝高纯铝资源，布局下游应用产业，重点围绕电解电容器、溅射靶材、高纯氧化铝等产品发力，对接国内头部企业，引进高纯铝应用项目，延伸产业链，抢占高端应用市场，力争“十五五”末产值突破100亿元。</w:t>
      </w:r>
      <w:r>
        <w:rPr>
          <w:rFonts w:hint="default" w:ascii="Times New Roman" w:hAnsi="Times New Roman" w:cs="Times New Roman"/>
          <w:b/>
          <w:bCs/>
          <w:color w:val="000000" w:themeColor="text1"/>
          <w:szCs w:val="32"/>
          <w:highlight w:val="none"/>
          <w14:textFill>
            <w14:solidFill>
              <w14:schemeClr w14:val="tx1"/>
            </w14:solidFill>
          </w14:textFill>
        </w:rPr>
        <w:t>一是发展电解电容器。</w:t>
      </w:r>
      <w:r>
        <w:rPr>
          <w:rFonts w:hint="default" w:ascii="Times New Roman" w:hAnsi="Times New Roman" w:cs="Times New Roman"/>
          <w:color w:val="000000" w:themeColor="text1"/>
          <w:szCs w:val="32"/>
          <w:highlight w:val="none"/>
          <w14:textFill>
            <w14:solidFill>
              <w14:schemeClr w14:val="tx1"/>
            </w14:solidFill>
          </w14:textFill>
        </w:rPr>
        <w:t>依托现有化成箔产能，持续对接三维箔、电容器企业，补齐光箔等生产环节。</w:t>
      </w:r>
      <w:r>
        <w:rPr>
          <w:rFonts w:hint="default" w:ascii="Times New Roman" w:hAnsi="Times New Roman" w:cs="Times New Roman"/>
          <w:b/>
          <w:bCs/>
          <w:color w:val="000000" w:themeColor="text1"/>
          <w:szCs w:val="32"/>
          <w:highlight w:val="none"/>
          <w14:textFill>
            <w14:solidFill>
              <w14:schemeClr w14:val="tx1"/>
            </w14:solidFill>
          </w14:textFill>
        </w:rPr>
        <w:t>二是发展溅射靶材。</w:t>
      </w:r>
      <w:r>
        <w:rPr>
          <w:rFonts w:hint="default" w:ascii="Times New Roman" w:hAnsi="Times New Roman" w:cs="Times New Roman"/>
          <w:color w:val="000000" w:themeColor="text1"/>
          <w:szCs w:val="32"/>
          <w:highlight w:val="none"/>
          <w14:textFill>
            <w14:solidFill>
              <w14:schemeClr w14:val="tx1"/>
            </w14:solidFill>
          </w14:textFill>
        </w:rPr>
        <w:t>对接溅射靶材头部企业，推动溅射靶材产业本地化，力争在半导体高端应用领域取得突破。</w:t>
      </w:r>
      <w:r>
        <w:rPr>
          <w:rFonts w:hint="default" w:ascii="Times New Roman" w:hAnsi="Times New Roman" w:cs="Times New Roman"/>
          <w:b/>
          <w:bCs/>
          <w:color w:val="000000" w:themeColor="text1"/>
          <w:szCs w:val="32"/>
          <w:highlight w:val="none"/>
          <w14:textFill>
            <w14:solidFill>
              <w14:schemeClr w14:val="tx1"/>
            </w14:solidFill>
          </w14:textFill>
        </w:rPr>
        <w:t>三是发展高纯氧化铝。</w:t>
      </w:r>
      <w:r>
        <w:rPr>
          <w:rFonts w:hint="default" w:ascii="Times New Roman" w:hAnsi="Times New Roman" w:cs="Times New Roman"/>
          <w:color w:val="000000" w:themeColor="text1"/>
          <w:szCs w:val="32"/>
          <w:highlight w:val="none"/>
          <w14:textFill>
            <w14:solidFill>
              <w14:schemeClr w14:val="tx1"/>
            </w14:solidFill>
          </w14:textFill>
        </w:rPr>
        <w:t>推动中氢能源三氧化二铝项目投产达效。同时，围绕电子信息、航空航天、精密制造等领域全力招引半导体衬底、轻量化结构件、精密仪器部件等企业，扩大高纯铝应用。</w:t>
      </w:r>
    </w:p>
    <w:p w14:paraId="7B8A316C">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做优汽车零部件产业链。</w:t>
      </w:r>
      <w:r>
        <w:rPr>
          <w:rFonts w:hint="default" w:ascii="Times New Roman" w:hAnsi="Times New Roman" w:cs="Times New Roman"/>
          <w:color w:val="000000" w:themeColor="text1"/>
          <w:szCs w:val="32"/>
          <w:highlight w:val="none"/>
          <w14:textFill>
            <w14:solidFill>
              <w14:schemeClr w14:val="tx1"/>
            </w14:solidFill>
          </w14:textFill>
        </w:rPr>
        <w:t>发挥自治区级新能源汽车配套特色产业集群优势，围绕汽车特别是新能源汽车的底盘悬架、电池托盘、四门一盖等封闭件用铝趋势，重点在汽车铝轮毂、车身结构件、底盘、散热器、动力系统零部件等领域布局产业，力争“十五五”末产值突破200亿元。</w:t>
      </w:r>
      <w:r>
        <w:rPr>
          <w:rFonts w:hint="default" w:ascii="Times New Roman" w:hAnsi="Times New Roman" w:cs="Times New Roman"/>
          <w:b/>
          <w:bCs/>
          <w:color w:val="000000" w:themeColor="text1"/>
          <w:szCs w:val="32"/>
          <w:highlight w:val="none"/>
          <w14:textFill>
            <w14:solidFill>
              <w14:schemeClr w14:val="tx1"/>
            </w14:solidFill>
          </w14:textFill>
        </w:rPr>
        <w:t>一是做大汽车铝轮毂。</w:t>
      </w:r>
      <w:r>
        <w:rPr>
          <w:rFonts w:hint="eastAsia" w:cs="Times New Roman"/>
          <w:b w:val="0"/>
          <w:bCs w:val="0"/>
          <w:color w:val="000000" w:themeColor="text1"/>
          <w:szCs w:val="32"/>
          <w:highlight w:val="none"/>
          <w:lang w:val="en-US" w:eastAsia="zh-CN"/>
          <w14:textFill>
            <w14:solidFill>
              <w14:schemeClr w14:val="tx1"/>
            </w14:solidFill>
          </w14:textFill>
        </w:rPr>
        <w:t>做大现有铝轮毂生产企业，</w:t>
      </w:r>
      <w:r>
        <w:rPr>
          <w:rFonts w:hint="default" w:ascii="Times New Roman" w:hAnsi="Times New Roman" w:cs="Times New Roman"/>
          <w:color w:val="000000" w:themeColor="text1"/>
          <w:szCs w:val="32"/>
          <w:highlight w:val="none"/>
          <w14:textFill>
            <w14:solidFill>
              <w14:schemeClr w14:val="tx1"/>
            </w14:solidFill>
          </w14:textFill>
        </w:rPr>
        <w:t>对接铸造、锻造类高品质铝轮毂生产企业，不断扩大铝轮毂规模，达到1000万只以上。</w:t>
      </w:r>
      <w:r>
        <w:rPr>
          <w:rFonts w:hint="default" w:ascii="Times New Roman" w:hAnsi="Times New Roman" w:cs="Times New Roman"/>
          <w:b/>
          <w:bCs/>
          <w:color w:val="000000" w:themeColor="text1"/>
          <w:szCs w:val="32"/>
          <w:highlight w:val="none"/>
          <w14:textFill>
            <w14:solidFill>
              <w14:schemeClr w14:val="tx1"/>
            </w14:solidFill>
          </w14:textFill>
        </w:rPr>
        <w:t>二是发展汽车车身结构件。</w:t>
      </w:r>
      <w:r>
        <w:rPr>
          <w:rFonts w:hint="default" w:ascii="Times New Roman" w:hAnsi="Times New Roman" w:cs="Times New Roman"/>
          <w:color w:val="000000" w:themeColor="text1"/>
          <w:szCs w:val="32"/>
          <w:highlight w:val="none"/>
          <w14:textFill>
            <w14:solidFill>
              <w14:schemeClr w14:val="tx1"/>
            </w14:solidFill>
          </w14:textFill>
        </w:rPr>
        <w:t>紧盯淮安、佛山等重点区域，定向招引车用铝合金压铸件、车用轻量化型材等生产企业，培育形成汽车车体结构件产品。</w:t>
      </w:r>
      <w:r>
        <w:rPr>
          <w:rFonts w:hint="default" w:ascii="Times New Roman" w:hAnsi="Times New Roman" w:cs="Times New Roman"/>
          <w:b/>
          <w:bCs/>
          <w:color w:val="000000" w:themeColor="text1"/>
          <w:szCs w:val="32"/>
          <w:highlight w:val="none"/>
          <w14:textFill>
            <w14:solidFill>
              <w14:schemeClr w14:val="tx1"/>
            </w14:solidFill>
          </w14:textFill>
        </w:rPr>
        <w:t>三是发展汽车底盘零部件。</w:t>
      </w:r>
      <w:r>
        <w:rPr>
          <w:rFonts w:hint="default" w:ascii="Times New Roman" w:hAnsi="Times New Roman" w:cs="Times New Roman"/>
          <w:color w:val="000000" w:themeColor="text1"/>
          <w:szCs w:val="32"/>
          <w:highlight w:val="none"/>
          <w14:textFill>
            <w14:solidFill>
              <w14:schemeClr w14:val="tx1"/>
            </w14:solidFill>
          </w14:textFill>
        </w:rPr>
        <w:t>在200万只转向节基础上，重点对接行业内头部企业，形成一批控制臂和转向节、汽车电池托盘等产品。</w:t>
      </w:r>
      <w:r>
        <w:rPr>
          <w:rFonts w:hint="default" w:ascii="Times New Roman" w:hAnsi="Times New Roman" w:cs="Times New Roman"/>
          <w:b/>
          <w:bCs/>
          <w:color w:val="000000" w:themeColor="text1"/>
          <w:szCs w:val="32"/>
          <w:highlight w:val="none"/>
          <w14:textFill>
            <w14:solidFill>
              <w14:schemeClr w14:val="tx1"/>
            </w14:solidFill>
          </w14:textFill>
        </w:rPr>
        <w:t>四是发展汽车散热器零部件。</w:t>
      </w:r>
      <w:r>
        <w:rPr>
          <w:rFonts w:hint="default" w:ascii="Times New Roman" w:hAnsi="Times New Roman" w:cs="Times New Roman"/>
          <w:color w:val="000000" w:themeColor="text1"/>
          <w:szCs w:val="32"/>
          <w:highlight w:val="none"/>
          <w14:textFill>
            <w14:solidFill>
              <w14:schemeClr w14:val="tx1"/>
            </w14:solidFill>
          </w14:textFill>
        </w:rPr>
        <w:t>加快推动150万套汽车散热器量产，积极对接汽车散热器企业，发展散热器及散热芯体、端板、散热风扇等零部件产业。</w:t>
      </w:r>
      <w:r>
        <w:rPr>
          <w:rFonts w:hint="default" w:ascii="Times New Roman" w:hAnsi="Times New Roman" w:cs="Times New Roman"/>
          <w:b/>
          <w:bCs/>
          <w:color w:val="000000" w:themeColor="text1"/>
          <w:szCs w:val="32"/>
          <w:highlight w:val="none"/>
          <w14:textFill>
            <w14:solidFill>
              <w14:schemeClr w14:val="tx1"/>
            </w14:solidFill>
          </w14:textFill>
        </w:rPr>
        <w:t>五是发展汽车动力系统零部件。</w:t>
      </w:r>
      <w:r>
        <w:rPr>
          <w:rFonts w:hint="default" w:ascii="Times New Roman" w:hAnsi="Times New Roman" w:cs="Times New Roman"/>
          <w:color w:val="000000" w:themeColor="text1"/>
          <w:szCs w:val="32"/>
          <w:highlight w:val="none"/>
          <w14:textFill>
            <w14:solidFill>
              <w14:schemeClr w14:val="tx1"/>
            </w14:solidFill>
          </w14:textFill>
        </w:rPr>
        <w:t>推动50万套铝制刹车盘项目建成投产，对接发动机缸体和缸盖、电机壳体、铝排等生产企业，形成一批汽车动力系统零部件生产企业。</w:t>
      </w:r>
    </w:p>
    <w:p w14:paraId="7F96F2EB">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做强高端型材产业链。</w:t>
      </w:r>
      <w:r>
        <w:rPr>
          <w:rFonts w:hint="default" w:ascii="Times New Roman" w:hAnsi="Times New Roman" w:cs="Times New Roman"/>
          <w:color w:val="000000" w:themeColor="text1"/>
          <w:szCs w:val="32"/>
          <w:highlight w:val="none"/>
          <w14:textFill>
            <w14:solidFill>
              <w14:schemeClr w14:val="tx1"/>
            </w14:solidFill>
          </w14:textFill>
        </w:rPr>
        <w:t>聚焦铝材在交通物流及市政设施、新能源、智能产品配件等领域</w:t>
      </w:r>
      <w:r>
        <w:rPr>
          <w:rFonts w:hint="eastAsia" w:cs="Times New Roman"/>
          <w:color w:val="000000" w:themeColor="text1"/>
          <w:szCs w:val="32"/>
          <w:highlight w:val="none"/>
          <w:lang w:eastAsia="zh-CN"/>
          <w14:textFill>
            <w14:solidFill>
              <w14:schemeClr w14:val="tx1"/>
            </w14:solidFill>
          </w14:textFill>
        </w:rPr>
        <w:t>的需求</w:t>
      </w:r>
      <w:r>
        <w:rPr>
          <w:rFonts w:hint="default" w:ascii="Times New Roman" w:hAnsi="Times New Roman" w:cs="Times New Roman"/>
          <w:color w:val="000000" w:themeColor="text1"/>
          <w:szCs w:val="32"/>
          <w:highlight w:val="none"/>
          <w14:textFill>
            <w14:solidFill>
              <w14:schemeClr w14:val="tx1"/>
            </w14:solidFill>
          </w14:textFill>
        </w:rPr>
        <w:t>，发展高端铝型材，推动铝产业向多元化、高端化延伸，力争</w:t>
      </w:r>
      <w:r>
        <w:rPr>
          <w:rFonts w:hint="eastAsia" w:cs="Times New Roman"/>
          <w:color w:val="000000" w:themeColor="text1"/>
          <w:szCs w:val="32"/>
          <w:highlight w:val="none"/>
          <w:lang w:eastAsia="zh-CN"/>
          <w14:textFill>
            <w14:solidFill>
              <w14:schemeClr w14:val="tx1"/>
            </w14:solidFill>
          </w14:textFill>
        </w:rPr>
        <w:t>到“</w:t>
      </w:r>
      <w:r>
        <w:rPr>
          <w:rFonts w:hint="default" w:ascii="Times New Roman" w:hAnsi="Times New Roman" w:cs="Times New Roman"/>
          <w:color w:val="000000" w:themeColor="text1"/>
          <w:szCs w:val="32"/>
          <w:highlight w:val="none"/>
          <w14:textFill>
            <w14:solidFill>
              <w14:schemeClr w14:val="tx1"/>
            </w14:solidFill>
          </w14:textFill>
        </w:rPr>
        <w:t>十五五”末产值突破250亿元。</w:t>
      </w:r>
      <w:r>
        <w:rPr>
          <w:rFonts w:hint="default" w:ascii="Times New Roman" w:hAnsi="Times New Roman" w:cs="Times New Roman"/>
          <w:b/>
          <w:bCs/>
          <w:color w:val="000000" w:themeColor="text1"/>
          <w:szCs w:val="32"/>
          <w:highlight w:val="none"/>
          <w14:textFill>
            <w14:solidFill>
              <w14:schemeClr w14:val="tx1"/>
            </w14:solidFill>
          </w14:textFill>
        </w:rPr>
        <w:t>一是发展高端铝合金材料。</w:t>
      </w:r>
      <w:r>
        <w:rPr>
          <w:rFonts w:hint="default" w:ascii="Times New Roman" w:hAnsi="Times New Roman" w:cs="Times New Roman"/>
          <w:color w:val="000000" w:themeColor="text1"/>
          <w:szCs w:val="32"/>
          <w:highlight w:val="none"/>
          <w14:textFill>
            <w14:solidFill>
              <w14:schemeClr w14:val="tx1"/>
            </w14:solidFill>
          </w14:textFill>
        </w:rPr>
        <w:t>加快推动晶粒细化剂、硼铝合金项目</w:t>
      </w:r>
      <w:r>
        <w:rPr>
          <w:rFonts w:hint="eastAsia" w:cs="Times New Roman"/>
          <w:color w:val="000000" w:themeColor="text1"/>
          <w:szCs w:val="32"/>
          <w:highlight w:val="none"/>
          <w:lang w:eastAsia="zh-CN"/>
          <w14:textFill>
            <w14:solidFill>
              <w14:schemeClr w14:val="tx1"/>
            </w14:solidFill>
          </w14:textFill>
        </w:rPr>
        <w:t>开工</w:t>
      </w:r>
      <w:r>
        <w:rPr>
          <w:rFonts w:hint="default" w:ascii="Times New Roman" w:hAnsi="Times New Roman" w:cs="Times New Roman"/>
          <w:color w:val="000000" w:themeColor="text1"/>
          <w:szCs w:val="32"/>
          <w:highlight w:val="none"/>
          <w14:textFill>
            <w14:solidFill>
              <w14:schemeClr w14:val="tx1"/>
            </w14:solidFill>
          </w14:textFill>
        </w:rPr>
        <w:t>建设，扩大铝基中间合金生产能力。持续</w:t>
      </w:r>
      <w:r>
        <w:rPr>
          <w:rFonts w:hint="eastAsia" w:cs="Times New Roman"/>
          <w:color w:val="000000" w:themeColor="text1"/>
          <w:szCs w:val="32"/>
          <w:highlight w:val="none"/>
          <w:lang w:eastAsia="zh-CN"/>
          <w14:textFill>
            <w14:solidFill>
              <w14:schemeClr w14:val="tx1"/>
            </w14:solidFill>
          </w14:textFill>
        </w:rPr>
        <w:t>推动</w:t>
      </w:r>
      <w:r>
        <w:rPr>
          <w:rFonts w:hint="default" w:ascii="Times New Roman" w:hAnsi="Times New Roman" w:cs="Times New Roman"/>
          <w:color w:val="000000" w:themeColor="text1"/>
          <w:szCs w:val="32"/>
          <w:highlight w:val="none"/>
          <w14:textFill>
            <w14:solidFill>
              <w14:schemeClr w14:val="tx1"/>
            </w14:solidFill>
          </w14:textFill>
        </w:rPr>
        <w:t>免热处理材料、泡沫铝、陶瓷铝晶种等项目落地。发展2系、3系、5系、7系等铝铜合金、铝锰合金、铝镁合金、铝镍合金</w:t>
      </w:r>
      <w:r>
        <w:rPr>
          <w:rFonts w:hint="eastAsia" w:cs="Times New Roman"/>
          <w:color w:val="000000" w:themeColor="text1"/>
          <w:szCs w:val="32"/>
          <w:highlight w:val="none"/>
          <w:lang w:eastAsia="zh-CN"/>
          <w14:textFill>
            <w14:solidFill>
              <w14:schemeClr w14:val="tx1"/>
            </w14:solidFill>
          </w14:textFill>
        </w:rPr>
        <w:t>以及</w:t>
      </w:r>
      <w:r>
        <w:rPr>
          <w:rFonts w:hint="default" w:ascii="Times New Roman" w:hAnsi="Times New Roman" w:cs="Times New Roman"/>
          <w:color w:val="000000" w:themeColor="text1"/>
          <w:szCs w:val="32"/>
          <w:highlight w:val="none"/>
          <w14:textFill>
            <w14:solidFill>
              <w14:schemeClr w14:val="tx1"/>
            </w14:solidFill>
          </w14:textFill>
        </w:rPr>
        <w:t>稀土、石墨烯、碳纤维、陶瓷复合材料，形成一批超轻、高强、高韧、高导、耐腐蚀等高端铝合金。</w:t>
      </w:r>
      <w:r>
        <w:rPr>
          <w:rFonts w:hint="default" w:ascii="Times New Roman" w:hAnsi="Times New Roman" w:cs="Times New Roman"/>
          <w:b/>
          <w:bCs/>
          <w:color w:val="000000" w:themeColor="text1"/>
          <w:szCs w:val="32"/>
          <w:highlight w:val="none"/>
          <w14:textFill>
            <w14:solidFill>
              <w14:schemeClr w14:val="tx1"/>
            </w14:solidFill>
          </w14:textFill>
        </w:rPr>
        <w:t>二是培育交通物流及市政设施铝材。</w:t>
      </w:r>
      <w:r>
        <w:rPr>
          <w:rFonts w:hint="default" w:ascii="Times New Roman" w:hAnsi="Times New Roman" w:cs="Times New Roman"/>
          <w:color w:val="000000" w:themeColor="text1"/>
          <w:szCs w:val="32"/>
          <w:highlight w:val="none"/>
          <w14:textFill>
            <w14:solidFill>
              <w14:schemeClr w14:val="tx1"/>
            </w14:solidFill>
          </w14:textFill>
        </w:rPr>
        <w:t>加强铝制集装箱制造攻关，尽快达到公、铁、海运输标准要求，力争</w:t>
      </w:r>
      <w:r>
        <w:rPr>
          <w:rFonts w:hint="eastAsia" w:cs="Times New Roman"/>
          <w:color w:val="000000" w:themeColor="text1"/>
          <w:szCs w:val="32"/>
          <w:highlight w:val="none"/>
          <w:lang w:eastAsia="zh-CN"/>
          <w14:textFill>
            <w14:solidFill>
              <w14:schemeClr w14:val="tx1"/>
            </w14:solidFill>
          </w14:textFill>
        </w:rPr>
        <w:t>到“</w:t>
      </w:r>
      <w:r>
        <w:rPr>
          <w:rFonts w:hint="default" w:ascii="Times New Roman" w:hAnsi="Times New Roman" w:cs="Times New Roman"/>
          <w:color w:val="000000" w:themeColor="text1"/>
          <w:szCs w:val="32"/>
          <w:highlight w:val="none"/>
          <w14:textFill>
            <w14:solidFill>
              <w14:schemeClr w14:val="tx1"/>
            </w14:solidFill>
          </w14:textFill>
        </w:rPr>
        <w:t>十五五”</w:t>
      </w:r>
      <w:r>
        <w:rPr>
          <w:rFonts w:hint="eastAsia" w:cs="Times New Roman"/>
          <w:color w:val="000000" w:themeColor="text1"/>
          <w:szCs w:val="32"/>
          <w:highlight w:val="none"/>
          <w:lang w:eastAsia="zh-CN"/>
          <w14:textFill>
            <w14:solidFill>
              <w14:schemeClr w14:val="tx1"/>
            </w14:solidFill>
          </w14:textFill>
        </w:rPr>
        <w:t>末集装箱</w:t>
      </w:r>
      <w:r>
        <w:rPr>
          <w:rFonts w:hint="default" w:ascii="Times New Roman" w:hAnsi="Times New Roman" w:cs="Times New Roman"/>
          <w:color w:val="000000" w:themeColor="text1"/>
          <w:szCs w:val="32"/>
          <w:highlight w:val="none"/>
          <w14:textFill>
            <w14:solidFill>
              <w14:schemeClr w14:val="tx1"/>
            </w14:solidFill>
          </w14:textFill>
        </w:rPr>
        <w:t>实现产业化。围绕城市更新，培育一批铝合金护栏</w:t>
      </w:r>
      <w:r>
        <w:rPr>
          <w:rFonts w:hint="eastAsia"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城市照明及交通信号灯杆等产品的生产企业，填补我区市政设施配套产业空白。</w:t>
      </w:r>
      <w:r>
        <w:rPr>
          <w:rFonts w:hint="default" w:ascii="Times New Roman" w:hAnsi="Times New Roman" w:cs="Times New Roman"/>
          <w:b/>
          <w:bCs/>
          <w:color w:val="000000" w:themeColor="text1"/>
          <w:szCs w:val="32"/>
          <w:highlight w:val="none"/>
          <w14:textFill>
            <w14:solidFill>
              <w14:schemeClr w14:val="tx1"/>
            </w14:solidFill>
          </w14:textFill>
        </w:rPr>
        <w:t>三是发展新能源配套铝材。</w:t>
      </w:r>
      <w:r>
        <w:rPr>
          <w:rFonts w:hint="default" w:ascii="Times New Roman" w:hAnsi="Times New Roman" w:cs="Times New Roman"/>
          <w:color w:val="000000" w:themeColor="text1"/>
          <w:szCs w:val="32"/>
          <w:highlight w:val="none"/>
          <w14:textFill>
            <w14:solidFill>
              <w14:schemeClr w14:val="tx1"/>
            </w14:solidFill>
          </w14:textFill>
        </w:rPr>
        <w:t>推动光伏铝边框项目尽快投产，招引储能电池托盘、风电发电机壳等生产企业，扩大我区新能源配套产品。</w:t>
      </w:r>
      <w:r>
        <w:rPr>
          <w:rFonts w:hint="default" w:ascii="Times New Roman" w:hAnsi="Times New Roman" w:cs="Times New Roman"/>
          <w:b/>
          <w:bCs/>
          <w:color w:val="000000" w:themeColor="text1"/>
          <w:szCs w:val="32"/>
          <w:highlight w:val="none"/>
          <w14:textFill>
            <w14:solidFill>
              <w14:schemeClr w14:val="tx1"/>
            </w14:solidFill>
          </w14:textFill>
        </w:rPr>
        <w:t>四是发展智能产品配件。</w:t>
      </w:r>
      <w:r>
        <w:rPr>
          <w:rFonts w:hint="default" w:ascii="Times New Roman" w:hAnsi="Times New Roman" w:cs="Times New Roman"/>
          <w:color w:val="000000" w:themeColor="text1"/>
          <w:szCs w:val="32"/>
          <w:highlight w:val="none"/>
          <w14:textFill>
            <w14:solidFill>
              <w14:schemeClr w14:val="tx1"/>
            </w14:solidFill>
          </w14:textFill>
        </w:rPr>
        <w:t>开拓人工智能、低空经济等用铝产业，培育发展用铝配件生产企业。</w:t>
      </w:r>
      <w:r>
        <w:rPr>
          <w:rFonts w:hint="default" w:ascii="Times New Roman" w:hAnsi="Times New Roman" w:cs="Times New Roman"/>
          <w:b/>
          <w:bCs/>
          <w:color w:val="000000" w:themeColor="text1"/>
          <w:szCs w:val="32"/>
          <w:highlight w:val="none"/>
          <w14:textFill>
            <w14:solidFill>
              <w14:schemeClr w14:val="tx1"/>
            </w14:solidFill>
          </w14:textFill>
        </w:rPr>
        <w:t>五是发展高端电线电缆。</w:t>
      </w:r>
      <w:r>
        <w:rPr>
          <w:rFonts w:hint="default" w:ascii="Times New Roman" w:hAnsi="Times New Roman" w:cs="Times New Roman"/>
          <w:color w:val="000000" w:themeColor="text1"/>
          <w:szCs w:val="32"/>
          <w:highlight w:val="none"/>
          <w14:textFill>
            <w14:solidFill>
              <w14:schemeClr w14:val="tx1"/>
            </w14:solidFill>
          </w14:textFill>
        </w:rPr>
        <w:t>依托国家“以铝节铜”战略方向，积极引进</w:t>
      </w:r>
      <w:bookmarkStart w:id="20" w:name="_Hlk214513315"/>
      <w:r>
        <w:rPr>
          <w:rFonts w:hint="default" w:ascii="Times New Roman" w:hAnsi="Times New Roman" w:cs="Times New Roman"/>
          <w:color w:val="000000" w:themeColor="text1"/>
          <w:szCs w:val="32"/>
          <w:highlight w:val="none"/>
          <w14:textFill>
            <w14:solidFill>
              <w14:schemeClr w14:val="tx1"/>
            </w14:solidFill>
          </w14:textFill>
        </w:rPr>
        <w:t>亨通电缆、金信新材</w:t>
      </w:r>
      <w:bookmarkEnd w:id="20"/>
      <w:r>
        <w:rPr>
          <w:rFonts w:hint="default" w:ascii="Times New Roman" w:hAnsi="Times New Roman" w:cs="Times New Roman"/>
          <w:color w:val="000000" w:themeColor="text1"/>
          <w:szCs w:val="32"/>
          <w:highlight w:val="none"/>
          <w14:textFill>
            <w14:solidFill>
              <w14:schemeClr w14:val="tx1"/>
            </w14:solidFill>
          </w14:textFill>
        </w:rPr>
        <w:t>铜包铝线材、绚图新材石墨烯-铝复合材料等企业，落地一批铝精密铸造、铝制电缆、铝电磁线等精深加工项目，抢占国内铝代铜材料市场。</w:t>
      </w:r>
    </w:p>
    <w:p w14:paraId="5CF216C8">
      <w:pPr>
        <w:spacing w:line="560" w:lineRule="exact"/>
        <w:ind w:firstLine="643"/>
        <w:rPr>
          <w:rFonts w:hint="default" w:ascii="Times New Roman" w:hAnsi="Times New Roman" w:eastAsia="楷体_GB2312" w:cs="Times New Roman"/>
          <w:b/>
          <w:bCs/>
          <w:color w:val="000000" w:themeColor="text1"/>
          <w:szCs w:val="32"/>
          <w:highlight w:val="none"/>
          <w14:textFill>
            <w14:solidFill>
              <w14:schemeClr w14:val="tx1"/>
            </w14:solidFill>
          </w14:textFill>
        </w:rPr>
      </w:pPr>
      <w:r>
        <w:rPr>
          <w:rFonts w:hint="default" w:ascii="Times New Roman" w:hAnsi="Times New Roman" w:eastAsia="楷体_GB2312" w:cs="Times New Roman"/>
          <w:b/>
          <w:bCs/>
          <w:color w:val="000000" w:themeColor="text1"/>
          <w:szCs w:val="32"/>
          <w:highlight w:val="none"/>
          <w14:textFill>
            <w14:solidFill>
              <w14:schemeClr w14:val="tx1"/>
            </w14:solidFill>
          </w14:textFill>
        </w:rPr>
        <w:t>做精板带箔产业链。</w:t>
      </w:r>
      <w:r>
        <w:rPr>
          <w:rFonts w:hint="default" w:ascii="Times New Roman" w:hAnsi="Times New Roman" w:cs="Times New Roman"/>
          <w:color w:val="000000" w:themeColor="text1"/>
          <w:szCs w:val="32"/>
          <w:highlight w:val="none"/>
          <w14:textFill>
            <w14:solidFill>
              <w14:schemeClr w14:val="tx1"/>
            </w14:solidFill>
          </w14:textFill>
        </w:rPr>
        <w:t>围绕工业及民用铝产品的高端和绿色替代需求，重点发展高端工业板带箔、铝家具及铝包装箔等产品，力争</w:t>
      </w:r>
      <w:r>
        <w:rPr>
          <w:rFonts w:hint="eastAsia" w:cs="Times New Roman"/>
          <w:color w:val="000000" w:themeColor="text1"/>
          <w:szCs w:val="32"/>
          <w:highlight w:val="none"/>
          <w:lang w:eastAsia="zh-CN"/>
          <w14:textFill>
            <w14:solidFill>
              <w14:schemeClr w14:val="tx1"/>
            </w14:solidFill>
          </w14:textFill>
        </w:rPr>
        <w:t>到“</w:t>
      </w:r>
      <w:r>
        <w:rPr>
          <w:rFonts w:hint="default" w:ascii="Times New Roman" w:hAnsi="Times New Roman" w:cs="Times New Roman"/>
          <w:color w:val="000000" w:themeColor="text1"/>
          <w:szCs w:val="32"/>
          <w:highlight w:val="none"/>
          <w14:textFill>
            <w14:solidFill>
              <w14:schemeClr w14:val="tx1"/>
            </w14:solidFill>
          </w14:textFill>
        </w:rPr>
        <w:t>十五五”末产值突破100亿元。</w:t>
      </w:r>
      <w:r>
        <w:rPr>
          <w:rFonts w:hint="default" w:ascii="Times New Roman" w:hAnsi="Times New Roman" w:cs="Times New Roman"/>
          <w:b/>
          <w:bCs/>
          <w:color w:val="000000" w:themeColor="text1"/>
          <w:szCs w:val="32"/>
          <w:highlight w:val="none"/>
          <w14:textFill>
            <w14:solidFill>
              <w14:schemeClr w14:val="tx1"/>
            </w14:solidFill>
          </w14:textFill>
        </w:rPr>
        <w:t>一是发展高端工业板带箔。</w:t>
      </w:r>
      <w:r>
        <w:rPr>
          <w:rFonts w:hint="default" w:ascii="Times New Roman" w:hAnsi="Times New Roman" w:cs="Times New Roman"/>
          <w:color w:val="000000" w:themeColor="text1"/>
          <w:szCs w:val="32"/>
          <w:highlight w:val="none"/>
          <w14:textFill>
            <w14:solidFill>
              <w14:schemeClr w14:val="tx1"/>
            </w14:solidFill>
          </w14:textFill>
        </w:rPr>
        <w:t>在华北铝业9.1万吨高性能铝合金铸轧卷基础上，加快</w:t>
      </w:r>
      <w:bookmarkStart w:id="21" w:name="_Hlk214513514"/>
      <w:r>
        <w:rPr>
          <w:rFonts w:hint="default" w:ascii="Times New Roman" w:hAnsi="Times New Roman" w:cs="Times New Roman"/>
          <w:color w:val="000000" w:themeColor="text1"/>
          <w:szCs w:val="32"/>
          <w:highlight w:val="none"/>
          <w14:textFill>
            <w14:solidFill>
              <w14:schemeClr w14:val="tx1"/>
            </w14:solidFill>
          </w14:textFill>
        </w:rPr>
        <w:t>瑞锦</w:t>
      </w:r>
      <w:bookmarkEnd w:id="21"/>
      <w:r>
        <w:rPr>
          <w:rFonts w:hint="default" w:ascii="Times New Roman" w:hAnsi="Times New Roman" w:cs="Times New Roman"/>
          <w:color w:val="000000" w:themeColor="text1"/>
          <w:szCs w:val="32"/>
          <w:highlight w:val="none"/>
          <w14:textFill>
            <w14:solidFill>
              <w14:schemeClr w14:val="tx1"/>
            </w14:solidFill>
          </w14:textFill>
        </w:rPr>
        <w:t>15万吨高精铝板带、</w:t>
      </w:r>
      <w:bookmarkStart w:id="22" w:name="_Hlk214513553"/>
      <w:r>
        <w:rPr>
          <w:rFonts w:hint="default" w:ascii="Times New Roman" w:hAnsi="Times New Roman" w:cs="Times New Roman"/>
          <w:color w:val="000000" w:themeColor="text1"/>
          <w:szCs w:val="32"/>
          <w:highlight w:val="none"/>
          <w14:textFill>
            <w14:solidFill>
              <w14:schemeClr w14:val="tx1"/>
            </w14:solidFill>
          </w14:textFill>
        </w:rPr>
        <w:t>华北铝业</w:t>
      </w:r>
      <w:bookmarkEnd w:id="22"/>
      <w:r>
        <w:rPr>
          <w:rFonts w:hint="default" w:ascii="Times New Roman" w:hAnsi="Times New Roman" w:cs="Times New Roman"/>
          <w:color w:val="000000" w:themeColor="text1"/>
          <w:szCs w:val="32"/>
          <w:highlight w:val="none"/>
          <w14:textFill>
            <w14:solidFill>
              <w14:schemeClr w14:val="tx1"/>
            </w14:solidFill>
          </w14:textFill>
        </w:rPr>
        <w:t>二期7.1万吨电池箔冷轧卷项目建设，推动35万吨铝复合材料项目落地，形成60万吨板带箔材料生产能力，同时培育发展变压器、散热器铝带，为汽车零部件等产业提供原料。</w:t>
      </w:r>
      <w:r>
        <w:rPr>
          <w:rFonts w:hint="default" w:ascii="Times New Roman" w:hAnsi="Times New Roman" w:cs="Times New Roman"/>
          <w:b/>
          <w:bCs/>
          <w:color w:val="000000" w:themeColor="text1"/>
          <w:szCs w:val="32"/>
          <w:highlight w:val="none"/>
          <w14:textFill>
            <w14:solidFill>
              <w14:schemeClr w14:val="tx1"/>
            </w14:solidFill>
          </w14:textFill>
        </w:rPr>
        <w:t>二是发展铝制家具。</w:t>
      </w:r>
      <w:r>
        <w:rPr>
          <w:rFonts w:hint="default" w:ascii="Times New Roman" w:hAnsi="Times New Roman" w:cs="Times New Roman"/>
          <w:color w:val="000000" w:themeColor="text1"/>
          <w:szCs w:val="32"/>
          <w:highlight w:val="none"/>
          <w14:textFill>
            <w14:solidFill>
              <w14:schemeClr w14:val="tx1"/>
            </w14:solidFill>
          </w14:textFill>
        </w:rPr>
        <w:t>培育发展铝制家具、全铝墙板、铝制天花吊顶、室内装饰铝板、带等产品，满足消费者多元需求。</w:t>
      </w:r>
      <w:r>
        <w:rPr>
          <w:rFonts w:hint="default" w:ascii="Times New Roman" w:hAnsi="Times New Roman" w:cs="Times New Roman"/>
          <w:b/>
          <w:bCs/>
          <w:color w:val="000000" w:themeColor="text1"/>
          <w:szCs w:val="32"/>
          <w:highlight w:val="none"/>
          <w14:textFill>
            <w14:solidFill>
              <w14:schemeClr w14:val="tx1"/>
            </w14:solidFill>
          </w14:textFill>
        </w:rPr>
        <w:t>三是发展铝包装箔。</w:t>
      </w:r>
      <w:r>
        <w:rPr>
          <w:rFonts w:hint="default" w:ascii="Times New Roman" w:hAnsi="Times New Roman" w:cs="Times New Roman"/>
          <w:color w:val="000000" w:themeColor="text1"/>
          <w:szCs w:val="32"/>
          <w:highlight w:val="none"/>
          <w14:textFill>
            <w14:solidFill>
              <w14:schemeClr w14:val="tx1"/>
            </w14:solidFill>
          </w14:textFill>
        </w:rPr>
        <w:t>围绕食品、医药等领域对高端铝板带需求，引进单零、双零等生产企业，发展食品级、药品级无菌包装箔等产品。</w:t>
      </w:r>
    </w:p>
    <w:p w14:paraId="4E60E8C5">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23" w:name="_Toc1198"/>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第二节 积极发展再生资源循环利用产业</w:t>
      </w:r>
      <w:bookmarkEnd w:id="23"/>
    </w:p>
    <w:p w14:paraId="76CEBFE7">
      <w:pPr>
        <w:spacing w:line="560" w:lineRule="exact"/>
        <w:ind w:firstLine="640" w:firstLineChars="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发挥</w:t>
      </w:r>
      <w:r>
        <w:rPr>
          <w:rFonts w:hint="eastAsia" w:cs="Times New Roman"/>
          <w:color w:val="000000" w:themeColor="text1"/>
          <w:szCs w:val="32"/>
          <w:highlight w:val="none"/>
          <w:lang w:val="en-US" w:eastAsia="zh-CN"/>
          <w14:textFill>
            <w14:solidFill>
              <w14:schemeClr w14:val="tx1"/>
            </w14:solidFill>
          </w14:textFill>
        </w:rPr>
        <w:t>目前</w:t>
      </w:r>
      <w:r>
        <w:rPr>
          <w:rFonts w:hint="default" w:ascii="Times New Roman" w:hAnsi="Times New Roman" w:cs="Times New Roman"/>
          <w:color w:val="000000" w:themeColor="text1"/>
          <w:szCs w:val="32"/>
          <w:highlight w:val="none"/>
          <w14:textFill>
            <w14:solidFill>
              <w14:schemeClr w14:val="tx1"/>
            </w14:solidFill>
          </w14:textFill>
        </w:rPr>
        <w:t>自治区唯一的城市矿产示范基地优势，紧盯国家政策，培育发展再生铝、废旧电机、退役风电、光伏组件、动力电池回收利用等产业，建设“互联网+再生资源”数字平台，打造“回收—加工—应用”闭环产业链，构建全链条再生资源产业体系，力争</w:t>
      </w:r>
      <w:r>
        <w:rPr>
          <w:rFonts w:hint="eastAsia" w:cs="Times New Roman"/>
          <w:color w:val="000000" w:themeColor="text1"/>
          <w:szCs w:val="32"/>
          <w:highlight w:val="none"/>
          <w:lang w:eastAsia="zh-CN"/>
          <w14:textFill>
            <w14:solidFill>
              <w14:schemeClr w14:val="tx1"/>
            </w14:solidFill>
          </w14:textFill>
        </w:rPr>
        <w:t>到“</w:t>
      </w:r>
      <w:r>
        <w:rPr>
          <w:rFonts w:hint="default" w:ascii="Times New Roman" w:hAnsi="Times New Roman" w:cs="Times New Roman"/>
          <w:color w:val="000000" w:themeColor="text1"/>
          <w:szCs w:val="32"/>
          <w:highlight w:val="none"/>
          <w14:textFill>
            <w14:solidFill>
              <w14:schemeClr w14:val="tx1"/>
            </w14:solidFill>
          </w14:textFill>
        </w:rPr>
        <w:t>十五五”末产值达到170亿元。</w:t>
      </w:r>
      <w:r>
        <w:rPr>
          <w:rFonts w:hint="default" w:ascii="Times New Roman" w:hAnsi="Times New Roman" w:cs="Times New Roman"/>
          <w:b/>
          <w:bCs/>
          <w:color w:val="000000" w:themeColor="text1"/>
          <w:szCs w:val="32"/>
          <w:highlight w:val="none"/>
          <w14:textFill>
            <w14:solidFill>
              <w14:schemeClr w14:val="tx1"/>
            </w14:solidFill>
          </w14:textFill>
        </w:rPr>
        <w:t>做大工业固废危废回收利用产业，</w:t>
      </w:r>
      <w:r>
        <w:rPr>
          <w:rFonts w:hint="default" w:ascii="Times New Roman" w:hAnsi="Times New Roman" w:cs="Times New Roman"/>
          <w:color w:val="000000" w:themeColor="text1"/>
          <w:szCs w:val="32"/>
          <w:highlight w:val="none"/>
          <w14:textFill>
            <w14:solidFill>
              <w14:schemeClr w14:val="tx1"/>
            </w14:solidFill>
          </w14:textFill>
        </w:rPr>
        <w:t>依托全市每年一般工业固体废物6000万吨、工业危险废物110万吨产生量，加快推动波普地聚物凝胶材料、脱硫石膏综合利用、</w:t>
      </w:r>
      <w:bookmarkStart w:id="24" w:name="_Hlk214513730"/>
      <w:r>
        <w:rPr>
          <w:rFonts w:hint="default" w:ascii="Times New Roman" w:hAnsi="Times New Roman" w:cs="Times New Roman"/>
          <w:color w:val="000000" w:themeColor="text1"/>
          <w:szCs w:val="32"/>
          <w:highlight w:val="none"/>
          <w14:textFill>
            <w14:solidFill>
              <w14:schemeClr w14:val="tx1"/>
            </w14:solidFill>
          </w14:textFill>
        </w:rPr>
        <w:t>华源天鹿</w:t>
      </w:r>
      <w:bookmarkEnd w:id="24"/>
      <w:r>
        <w:rPr>
          <w:rFonts w:hint="default" w:ascii="Times New Roman" w:hAnsi="Times New Roman" w:cs="Times New Roman"/>
          <w:color w:val="000000" w:themeColor="text1"/>
          <w:szCs w:val="32"/>
          <w:highlight w:val="none"/>
          <w14:textFill>
            <w14:solidFill>
              <w14:schemeClr w14:val="tx1"/>
            </w14:solidFill>
          </w14:textFill>
        </w:rPr>
        <w:t>铝灰资源化利用</w:t>
      </w:r>
      <w:r>
        <w:rPr>
          <w:rFonts w:hint="eastAsia" w:cs="Times New Roman"/>
          <w:color w:val="000000" w:themeColor="text1"/>
          <w:szCs w:val="32"/>
          <w:highlight w:val="none"/>
          <w:lang w:eastAsia="zh-CN"/>
          <w14:textFill>
            <w14:solidFill>
              <w14:schemeClr w14:val="tx1"/>
            </w14:solidFill>
          </w14:textFill>
        </w:rPr>
        <w:t>等项目</w:t>
      </w:r>
      <w:r>
        <w:rPr>
          <w:rFonts w:hint="default" w:ascii="Times New Roman" w:hAnsi="Times New Roman" w:cs="Times New Roman"/>
          <w:color w:val="000000" w:themeColor="text1"/>
          <w:szCs w:val="32"/>
          <w:highlight w:val="none"/>
          <w14:textFill>
            <w14:solidFill>
              <w14:schemeClr w14:val="tx1"/>
            </w14:solidFill>
          </w14:textFill>
        </w:rPr>
        <w:t>建成投产，提高固废利用率。积极引进具有核心技术的固危废资源综合利用企业，</w:t>
      </w:r>
      <w:r>
        <w:rPr>
          <w:rFonts w:hint="eastAsia" w:cs="Times New Roman"/>
          <w:color w:val="000000" w:themeColor="text1"/>
          <w:szCs w:val="32"/>
          <w:highlight w:val="none"/>
          <w:lang w:eastAsia="zh-CN"/>
          <w14:textFill>
            <w14:solidFill>
              <w14:schemeClr w14:val="tx1"/>
            </w14:solidFill>
          </w14:textFill>
        </w:rPr>
        <w:t>布局</w:t>
      </w:r>
      <w:r>
        <w:rPr>
          <w:rFonts w:hint="default" w:ascii="Times New Roman" w:hAnsi="Times New Roman" w:cs="Times New Roman"/>
          <w:color w:val="000000" w:themeColor="text1"/>
          <w:szCs w:val="32"/>
          <w:highlight w:val="none"/>
          <w14:textFill>
            <w14:solidFill>
              <w14:schemeClr w14:val="tx1"/>
            </w14:solidFill>
          </w14:textFill>
        </w:rPr>
        <w:t>大修渣提锂、石膏装饰建材、粉煤灰建材、聚化燃料等项目。</w:t>
      </w:r>
      <w:r>
        <w:rPr>
          <w:rFonts w:hint="default" w:ascii="Times New Roman" w:hAnsi="Times New Roman" w:cs="Times New Roman"/>
          <w:b/>
          <w:bCs/>
          <w:color w:val="000000" w:themeColor="text1"/>
          <w:szCs w:val="32"/>
          <w:highlight w:val="none"/>
          <w14:textFill>
            <w14:solidFill>
              <w14:schemeClr w14:val="tx1"/>
            </w14:solidFill>
          </w14:textFill>
        </w:rPr>
        <w:t>发展有色金属回收利用产业，</w:t>
      </w:r>
      <w:r>
        <w:rPr>
          <w:rFonts w:hint="default" w:ascii="Times New Roman" w:hAnsi="Times New Roman" w:cs="Times New Roman"/>
          <w:color w:val="000000" w:themeColor="text1"/>
          <w:szCs w:val="32"/>
          <w:highlight w:val="none"/>
          <w14:textFill>
            <w14:solidFill>
              <w14:schemeClr w14:val="tx1"/>
            </w14:solidFill>
          </w14:textFill>
        </w:rPr>
        <w:t>推动平远物资20万吨废铝综合利用项目满产，</w:t>
      </w:r>
      <w:r>
        <w:rPr>
          <w:rFonts w:hint="eastAsia" w:cs="Times New Roman"/>
          <w:color w:val="000000" w:themeColor="text1"/>
          <w:szCs w:val="32"/>
          <w:highlight w:val="none"/>
          <w:lang w:eastAsia="zh-CN"/>
          <w14:textFill>
            <w14:solidFill>
              <w14:schemeClr w14:val="tx1"/>
            </w14:solidFill>
          </w14:textFill>
        </w:rPr>
        <w:t>力争到“</w:t>
      </w:r>
      <w:r>
        <w:rPr>
          <w:rFonts w:hint="default" w:ascii="Times New Roman" w:hAnsi="Times New Roman" w:cs="Times New Roman"/>
          <w:color w:val="000000" w:themeColor="text1"/>
          <w:szCs w:val="32"/>
          <w:highlight w:val="none"/>
          <w14:textFill>
            <w14:solidFill>
              <w14:schemeClr w14:val="tx1"/>
            </w14:solidFill>
          </w14:textFill>
        </w:rPr>
        <w:t>十五五”末再生铝产能达到50万吨。发展“再生铝+”产品，支持现有铝加工企业</w:t>
      </w:r>
      <w:r>
        <w:rPr>
          <w:rFonts w:hint="eastAsia" w:cs="Times New Roman"/>
          <w:color w:val="000000" w:themeColor="text1"/>
          <w:szCs w:val="32"/>
          <w:highlight w:val="none"/>
          <w:lang w:eastAsia="zh-CN"/>
          <w14:textFill>
            <w14:solidFill>
              <w14:schemeClr w14:val="tx1"/>
            </w14:solidFill>
          </w14:textFill>
        </w:rPr>
        <w:t>提高</w:t>
      </w:r>
      <w:r>
        <w:rPr>
          <w:rFonts w:hint="default" w:ascii="Times New Roman" w:hAnsi="Times New Roman" w:cs="Times New Roman"/>
          <w:color w:val="000000" w:themeColor="text1"/>
          <w:szCs w:val="32"/>
          <w:highlight w:val="none"/>
          <w14:textFill>
            <w14:solidFill>
              <w14:schemeClr w14:val="tx1"/>
            </w14:solidFill>
          </w14:textFill>
        </w:rPr>
        <w:t>再生铝使用比例，建成自治区首家再生铝交易中心和铝产品交割库，招引一批废铝加工利用企业，推动35万吨多金属复合材料、10万吨车用铝合金免热处理材料等项目尽快落地，</w:t>
      </w:r>
      <w:r>
        <w:rPr>
          <w:rFonts w:hint="eastAsia" w:cs="Times New Roman"/>
          <w:color w:val="000000" w:themeColor="text1"/>
          <w:szCs w:val="32"/>
          <w:highlight w:val="none"/>
          <w:lang w:eastAsia="zh-CN"/>
          <w14:textFill>
            <w14:solidFill>
              <w14:schemeClr w14:val="tx1"/>
            </w14:solidFill>
          </w14:textFill>
        </w:rPr>
        <w:t>推动</w:t>
      </w:r>
      <w:r>
        <w:rPr>
          <w:rFonts w:hint="default" w:ascii="Times New Roman" w:hAnsi="Times New Roman" w:cs="Times New Roman"/>
          <w:color w:val="000000" w:themeColor="text1"/>
          <w:szCs w:val="32"/>
          <w:highlight w:val="none"/>
          <w14:textFill>
            <w14:solidFill>
              <w14:schemeClr w14:val="tx1"/>
            </w14:solidFill>
          </w14:textFill>
        </w:rPr>
        <w:t>形成“回收—分选—加工—循环”的产业链。</w:t>
      </w:r>
      <w:r>
        <w:rPr>
          <w:rFonts w:hint="default" w:ascii="Times New Roman" w:hAnsi="Times New Roman" w:cs="Times New Roman"/>
          <w:b/>
          <w:bCs/>
          <w:color w:val="000000" w:themeColor="text1"/>
          <w:szCs w:val="32"/>
          <w:highlight w:val="none"/>
          <w14:textFill>
            <w14:solidFill>
              <w14:schemeClr w14:val="tx1"/>
            </w14:solidFill>
          </w14:textFill>
        </w:rPr>
        <w:t>完善再生资源回收体系，</w:t>
      </w:r>
      <w:r>
        <w:rPr>
          <w:rFonts w:hint="default" w:ascii="Times New Roman" w:hAnsi="Times New Roman" w:cs="Times New Roman"/>
          <w:color w:val="000000" w:themeColor="text1"/>
          <w:szCs w:val="32"/>
          <w:highlight w:val="none"/>
          <w14:textFill>
            <w14:solidFill>
              <w14:schemeClr w14:val="tx1"/>
            </w14:solidFill>
          </w14:textFill>
        </w:rPr>
        <w:t>积极对接</w:t>
      </w:r>
      <w:r>
        <w:rPr>
          <w:rFonts w:hint="eastAsia" w:cs="Times New Roman"/>
          <w:color w:val="000000" w:themeColor="text1"/>
          <w:szCs w:val="32"/>
          <w:highlight w:val="none"/>
          <w:lang w:eastAsia="zh-CN"/>
          <w14:textFill>
            <w14:solidFill>
              <w14:schemeClr w14:val="tx1"/>
            </w14:solidFill>
          </w14:textFill>
        </w:rPr>
        <w:t>并引进</w:t>
      </w:r>
      <w:r>
        <w:rPr>
          <w:rFonts w:hint="default" w:ascii="Times New Roman" w:hAnsi="Times New Roman" w:cs="Times New Roman"/>
          <w:color w:val="000000" w:themeColor="text1"/>
          <w:szCs w:val="32"/>
          <w:highlight w:val="none"/>
          <w14:textFill>
            <w14:solidFill>
              <w14:schemeClr w14:val="tx1"/>
            </w14:solidFill>
          </w14:textFill>
        </w:rPr>
        <w:t>环保行业龙头企业，建设再生资源回收中心、集散中心、分拣中心，形成以“集散中心—中转站—回收点”为模式的再生资源回收体系，提高回收管理效率和规范化水平。</w:t>
      </w:r>
      <w:r>
        <w:rPr>
          <w:rFonts w:hint="default" w:ascii="Times New Roman" w:hAnsi="Times New Roman" w:cs="Times New Roman"/>
          <w:b/>
          <w:bCs/>
          <w:color w:val="000000" w:themeColor="text1"/>
          <w:szCs w:val="32"/>
          <w:highlight w:val="none"/>
          <w14:textFill>
            <w14:solidFill>
              <w14:schemeClr w14:val="tx1"/>
            </w14:solidFill>
          </w14:textFill>
        </w:rPr>
        <w:t>布局专业化循环利用板块，</w:t>
      </w:r>
      <w:r>
        <w:rPr>
          <w:rFonts w:hint="default" w:ascii="Times New Roman" w:hAnsi="Times New Roman" w:cs="Times New Roman"/>
          <w:color w:val="000000" w:themeColor="text1"/>
          <w:szCs w:val="32"/>
          <w:highlight w:val="none"/>
          <w14:textFill>
            <w14:solidFill>
              <w14:schemeClr w14:val="tx1"/>
            </w14:solidFill>
          </w14:textFill>
        </w:rPr>
        <w:t>充分利用设备更新和产业转移利好政策，加快发展报废汽车拆解产业，打造汽车拆解产业基地。结合全市工业企业电机使用率高、数量多优势，发展废旧电机回收利用产业，构建废旧电机回收—拆解—再利用循环体系。加快布局退役新能源装备产业，抓住国家布局废旧电池、退役风电、光伏设备回收产业机遇，与</w:t>
      </w:r>
      <w:r>
        <w:rPr>
          <w:rFonts w:hint="eastAsia" w:cs="Times New Roman"/>
          <w:color w:val="000000" w:themeColor="text1"/>
          <w:szCs w:val="32"/>
          <w:highlight w:val="none"/>
          <w:lang w:eastAsia="zh-CN"/>
          <w14:textFill>
            <w14:solidFill>
              <w14:schemeClr w14:val="tx1"/>
            </w14:solidFill>
          </w14:textFill>
        </w:rPr>
        <w:t>内蒙古</w:t>
      </w:r>
      <w:r>
        <w:rPr>
          <w:rFonts w:hint="default" w:ascii="Times New Roman" w:hAnsi="Times New Roman" w:cs="Times New Roman"/>
          <w:color w:val="000000" w:themeColor="text1"/>
          <w:szCs w:val="32"/>
          <w:highlight w:val="none"/>
          <w14:textFill>
            <w14:solidFill>
              <w14:schemeClr w14:val="tx1"/>
            </w14:solidFill>
          </w14:textFill>
        </w:rPr>
        <w:t>电力、内环投、江苏博翠等对接，合作建设废旧电池回收、退役风电</w:t>
      </w:r>
      <w:r>
        <w:rPr>
          <w:rFonts w:hint="eastAsia" w:cs="Times New Roman"/>
          <w:color w:val="000000" w:themeColor="text1"/>
          <w:szCs w:val="32"/>
          <w:highlight w:val="none"/>
          <w:lang w:eastAsia="zh-CN"/>
          <w14:textFill>
            <w14:solidFill>
              <w14:schemeClr w14:val="tx1"/>
            </w14:solidFill>
          </w14:textFill>
        </w:rPr>
        <w:t>和</w:t>
      </w:r>
      <w:r>
        <w:rPr>
          <w:rFonts w:hint="default" w:ascii="Times New Roman" w:hAnsi="Times New Roman" w:cs="Times New Roman"/>
          <w:color w:val="000000" w:themeColor="text1"/>
          <w:szCs w:val="32"/>
          <w:highlight w:val="none"/>
          <w14:textFill>
            <w14:solidFill>
              <w14:schemeClr w14:val="tx1"/>
            </w14:solidFill>
          </w14:textFill>
        </w:rPr>
        <w:t>光伏设备回收利用</w:t>
      </w:r>
      <w:r>
        <w:rPr>
          <w:rFonts w:hint="eastAsia" w:cs="Times New Roman"/>
          <w:color w:val="000000" w:themeColor="text1"/>
          <w:szCs w:val="32"/>
          <w:highlight w:val="none"/>
          <w:lang w:eastAsia="zh-CN"/>
          <w14:textFill>
            <w14:solidFill>
              <w14:schemeClr w14:val="tx1"/>
            </w14:solidFill>
          </w14:textFill>
        </w:rPr>
        <w:t>项目，力争“十五五”期间落地3—5个</w:t>
      </w:r>
      <w:r>
        <w:rPr>
          <w:rFonts w:hint="default" w:ascii="Times New Roman" w:hAnsi="Times New Roman" w:cs="Times New Roman"/>
          <w:color w:val="000000" w:themeColor="text1"/>
          <w:szCs w:val="32"/>
          <w:highlight w:val="none"/>
          <w14:textFill>
            <w14:solidFill>
              <w14:schemeClr w14:val="tx1"/>
            </w14:solidFill>
          </w14:textFill>
        </w:rPr>
        <w:t>。</w:t>
      </w:r>
    </w:p>
    <w:p w14:paraId="74A50829">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25" w:name="_Toc14672"/>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第三节 着力发展战略性新兴产业和未来产业</w:t>
      </w:r>
      <w:bookmarkEnd w:id="25"/>
    </w:p>
    <w:p w14:paraId="7A3707D9">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因地制宜发展新能源、新材料、低空经济、人工智能等</w:t>
      </w:r>
      <w:r>
        <w:rPr>
          <w:rFonts w:hint="eastAsia" w:cs="Times New Roman"/>
          <w:color w:val="000000" w:themeColor="text1"/>
          <w:highlight w:val="none"/>
          <w:lang w:eastAsia="zh-CN"/>
          <w14:textFill>
            <w14:solidFill>
              <w14:schemeClr w14:val="tx1"/>
            </w14:solidFill>
          </w14:textFill>
        </w:rPr>
        <w:t>战略性新兴产业</w:t>
      </w:r>
      <w:r>
        <w:rPr>
          <w:rFonts w:hint="default" w:ascii="Times New Roman" w:hAnsi="Times New Roman" w:cs="Times New Roman"/>
          <w:color w:val="000000" w:themeColor="text1"/>
          <w:highlight w:val="none"/>
          <w14:textFill>
            <w14:solidFill>
              <w14:schemeClr w14:val="tx1"/>
            </w14:solidFill>
          </w14:textFill>
        </w:rPr>
        <w:t>，推进新兴产业与特色优势产业融合升级。</w:t>
      </w:r>
    </w:p>
    <w:p w14:paraId="2C3512E2">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夯实新能源装备制造产业。</w:t>
      </w:r>
      <w:r>
        <w:rPr>
          <w:rFonts w:hint="default" w:ascii="Times New Roman" w:hAnsi="Times New Roman" w:cs="Times New Roman"/>
          <w:color w:val="000000" w:themeColor="text1"/>
          <w:highlight w:val="none"/>
          <w14:textFill>
            <w14:solidFill>
              <w14:schemeClr w14:val="tx1"/>
            </w14:solidFill>
          </w14:textFill>
        </w:rPr>
        <w:t>积极招引</w:t>
      </w:r>
      <w:r>
        <w:rPr>
          <w:rFonts w:hint="default" w:ascii="Times New Roman" w:hAnsi="Times New Roman" w:cs="Times New Roman"/>
          <w:color w:val="000000" w:themeColor="text1"/>
          <w:szCs w:val="32"/>
          <w:highlight w:val="none"/>
          <w14:textFill>
            <w14:solidFill>
              <w14:schemeClr w14:val="tx1"/>
            </w14:solidFill>
          </w14:textFill>
        </w:rPr>
        <w:t>电芯、电池托盘、储能集装箱等配套项目和硫化物、氧化物、聚合物固态电池企业落地，</w:t>
      </w:r>
      <w:r>
        <w:rPr>
          <w:rFonts w:hint="eastAsia" w:cs="Times New Roman"/>
          <w:color w:val="000000" w:themeColor="text1"/>
          <w:szCs w:val="32"/>
          <w:highlight w:val="none"/>
          <w:lang w:eastAsia="zh-CN"/>
          <w14:textFill>
            <w14:solidFill>
              <w14:schemeClr w14:val="tx1"/>
            </w14:solidFill>
          </w14:textFill>
        </w:rPr>
        <w:t>引进</w:t>
      </w:r>
      <w:r>
        <w:rPr>
          <w:rFonts w:hint="default" w:ascii="Times New Roman" w:hAnsi="Times New Roman" w:cs="Times New Roman"/>
          <w:color w:val="000000" w:themeColor="text1"/>
          <w:szCs w:val="32"/>
          <w:highlight w:val="none"/>
          <w14:textFill>
            <w14:solidFill>
              <w14:schemeClr w14:val="tx1"/>
            </w14:solidFill>
          </w14:textFill>
        </w:rPr>
        <w:t>控制器、塔筒、叶片、轴承、齿轮箱制造等装备制造项目，发展氢能、核能装备配套、固废资源利用自动化成套设备、秸秆气化能源再生自动化装备、垃圾分类智能化设备等产业。全力</w:t>
      </w:r>
      <w:r>
        <w:rPr>
          <w:rFonts w:hint="default" w:ascii="Times New Roman" w:hAnsi="Times New Roman" w:cs="Times New Roman"/>
          <w:szCs w:val="32"/>
          <w:highlight w:val="none"/>
        </w:rPr>
        <w:t>推进万里机械、华禹、申大等传统产业升级，</w:t>
      </w:r>
      <w:r>
        <w:rPr>
          <w:rFonts w:hint="default" w:ascii="Times New Roman" w:hAnsi="Times New Roman" w:cs="Times New Roman"/>
          <w:color w:val="000000" w:themeColor="text1"/>
          <w:highlight w:val="none"/>
          <w14:textFill>
            <w14:solidFill>
              <w14:schemeClr w14:val="tx1"/>
            </w14:solidFill>
          </w14:textFill>
        </w:rPr>
        <w:t>加大研发投入力度，支持新产品、智能化控制技术应用等领域</w:t>
      </w:r>
      <w:r>
        <w:rPr>
          <w:rFonts w:hint="eastAsia" w:cs="Times New Roman"/>
          <w:color w:val="000000" w:themeColor="text1"/>
          <w:highlight w:val="none"/>
          <w:lang w:eastAsia="zh-CN"/>
          <w14:textFill>
            <w14:solidFill>
              <w14:schemeClr w14:val="tx1"/>
            </w14:solidFill>
          </w14:textFill>
        </w:rPr>
        <w:t>的研究</w:t>
      </w:r>
      <w:r>
        <w:rPr>
          <w:rFonts w:hint="default" w:ascii="Times New Roman" w:hAnsi="Times New Roman" w:cs="Times New Roman"/>
          <w:color w:val="000000" w:themeColor="text1"/>
          <w:highlight w:val="none"/>
          <w14:textFill>
            <w14:solidFill>
              <w14:schemeClr w14:val="tx1"/>
            </w14:solidFill>
          </w14:textFill>
        </w:rPr>
        <w:t>，推动新型柠条机、新型无人值守衡器系统、新型输送系统等新产品</w:t>
      </w:r>
      <w:r>
        <w:rPr>
          <w:rFonts w:hint="eastAsia" w:cs="Times New Roman"/>
          <w:color w:val="000000" w:themeColor="text1"/>
          <w:highlight w:val="none"/>
          <w:lang w:eastAsia="zh-CN"/>
          <w14:textFill>
            <w14:solidFill>
              <w14:schemeClr w14:val="tx1"/>
            </w14:solidFill>
          </w14:textFill>
        </w:rPr>
        <w:t>的研制</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szCs w:val="32"/>
          <w:highlight w:val="none"/>
        </w:rPr>
        <w:t xml:space="preserve">提升装备自主配套能力。 </w:t>
      </w:r>
    </w:p>
    <w:p w14:paraId="0B22361B">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发展壮大新材料产业。</w:t>
      </w:r>
      <w:r>
        <w:rPr>
          <w:rFonts w:hint="default" w:ascii="Times New Roman" w:hAnsi="Times New Roman" w:cs="Times New Roman"/>
          <w:color w:val="000000" w:themeColor="text1"/>
          <w:szCs w:val="32"/>
          <w:highlight w:val="none"/>
          <w14:textFill>
            <w14:solidFill>
              <w14:schemeClr w14:val="tx1"/>
            </w14:solidFill>
          </w14:textFill>
        </w:rPr>
        <w:t>围绕新能源、电子信息、3D打印、航空航天等重点领域，大力培育高强合金、超导先进金属材料和石墨烯、陶瓷材料等先进非金属材料以及金属、碳基等复合材料，</w:t>
      </w:r>
      <w:r>
        <w:rPr>
          <w:rFonts w:hint="default" w:ascii="Times New Roman" w:hAnsi="Times New Roman" w:cs="Times New Roman"/>
          <w:color w:val="000000" w:themeColor="text1"/>
          <w:highlight w:val="none"/>
          <w14:textFill>
            <w14:solidFill>
              <w14:schemeClr w14:val="tx1"/>
            </w14:solidFill>
          </w14:textFill>
        </w:rPr>
        <w:t>努力以材料升级带动产业多元化发展。积极解决铝合金化难题，提升铝产业原料附加值，带动下游石墨烯铝产业链发展，推动铝产业系统升级。充分利用周边矿产资源，探索发展高纯超细新材料，提升稀土产业附加值，带动稀土产业链升级。充分利用周边玄武岩矿产资源和风能资源优势，带动玄武岩纤维新材料相关产业链发展，推进玄武岩纤维与铝合金材料耦合新型超强超轻系列复合材料</w:t>
      </w:r>
      <w:r>
        <w:rPr>
          <w:rFonts w:hint="default" w:ascii="Times New Roman" w:hAnsi="Times New Roman" w:cs="Times New Roman"/>
          <w:color w:val="000000" w:themeColor="text1"/>
          <w:szCs w:val="32"/>
          <w:highlight w:val="none"/>
          <w14:textFill>
            <w14:solidFill>
              <w14:schemeClr w14:val="tx1"/>
            </w14:solidFill>
          </w14:textFill>
        </w:rPr>
        <w:t>。</w:t>
      </w:r>
    </w:p>
    <w:p w14:paraId="3A8260A8">
      <w:pPr>
        <w:spacing w:line="560" w:lineRule="exact"/>
        <w:ind w:firstLine="643"/>
        <w:rPr>
          <w:rFonts w:hint="default" w:ascii="Times New Roman" w:hAnsi="Times New Roman" w:cs="Times New Roman"/>
          <w:b/>
          <w:bCs/>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前瞻布局低空经济产业。</w:t>
      </w:r>
      <w:r>
        <w:rPr>
          <w:rFonts w:hint="default" w:ascii="Times New Roman" w:hAnsi="Times New Roman" w:cs="Times New Roman"/>
          <w:color w:val="000000" w:themeColor="text1"/>
          <w:szCs w:val="32"/>
          <w:highlight w:val="none"/>
          <w14:textFill>
            <w14:solidFill>
              <w14:schemeClr w14:val="tx1"/>
            </w14:solidFill>
          </w14:textFill>
        </w:rPr>
        <w:t>积极</w:t>
      </w:r>
      <w:r>
        <w:rPr>
          <w:rFonts w:hint="eastAsia" w:cs="Times New Roman"/>
          <w:color w:val="000000" w:themeColor="text1"/>
          <w:szCs w:val="32"/>
          <w:highlight w:val="none"/>
          <w:lang w:eastAsia="zh-CN"/>
          <w14:textFill>
            <w14:solidFill>
              <w14:schemeClr w14:val="tx1"/>
            </w14:solidFill>
          </w14:textFill>
        </w:rPr>
        <w:t>承接</w:t>
      </w:r>
      <w:r>
        <w:rPr>
          <w:rFonts w:hint="default" w:ascii="Times New Roman" w:hAnsi="Times New Roman" w:cs="Times New Roman"/>
          <w:color w:val="000000" w:themeColor="text1"/>
          <w:szCs w:val="32"/>
          <w:highlight w:val="none"/>
          <w14:textFill>
            <w14:solidFill>
              <w14:schemeClr w14:val="tx1"/>
            </w14:solidFill>
          </w14:textFill>
        </w:rPr>
        <w:t>无人机机架、发动机、电机外壳、组线等结构件</w:t>
      </w:r>
      <w:r>
        <w:rPr>
          <w:rFonts w:hint="eastAsia"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传感器、电路板等零部件</w:t>
      </w:r>
      <w:r>
        <w:rPr>
          <w:rFonts w:hint="eastAsia"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机身复合材料、新型电池等新材料生产环节，推动发展原材料物流、贴牌代工等产业。继续拓展“低空+”应用场景，探索</w:t>
      </w:r>
      <w:r>
        <w:rPr>
          <w:rFonts w:hint="default" w:ascii="Times New Roman" w:hAnsi="Times New Roman" w:cs="Times New Roman"/>
          <w:szCs w:val="32"/>
          <w:highlight w:val="none"/>
        </w:rPr>
        <w:t>重大活动安全巡检、</w:t>
      </w:r>
      <w:r>
        <w:rPr>
          <w:rFonts w:hint="default" w:ascii="Times New Roman" w:hAnsi="Times New Roman" w:cs="Times New Roman"/>
          <w:color w:val="000000" w:themeColor="text1"/>
          <w:szCs w:val="32"/>
          <w:highlight w:val="none"/>
          <w14:textFill>
            <w14:solidFill>
              <w14:schemeClr w14:val="tx1"/>
            </w14:solidFill>
          </w14:textFill>
        </w:rPr>
        <w:t>风光电设施巡检</w:t>
      </w:r>
      <w:r>
        <w:rPr>
          <w:rFonts w:hint="eastAsia" w:cs="Times New Roman"/>
          <w:color w:val="000000" w:themeColor="text1"/>
          <w:szCs w:val="32"/>
          <w:highlight w:val="none"/>
          <w:lang w:eastAsia="zh-CN"/>
          <w14:textFill>
            <w14:solidFill>
              <w14:schemeClr w14:val="tx1"/>
            </w14:solidFill>
          </w14:textFill>
        </w:rPr>
        <w:t>与清洁</w:t>
      </w:r>
      <w:r>
        <w:rPr>
          <w:rFonts w:hint="default" w:ascii="Times New Roman" w:hAnsi="Times New Roman" w:cs="Times New Roman"/>
          <w:color w:val="000000" w:themeColor="text1"/>
          <w:szCs w:val="32"/>
          <w:highlight w:val="none"/>
          <w14:textFill>
            <w14:solidFill>
              <w14:schemeClr w14:val="tx1"/>
            </w14:solidFill>
          </w14:textFill>
        </w:rPr>
        <w:t>、街面巡防和设备巡检、播种施肥、</w:t>
      </w:r>
      <w:r>
        <w:rPr>
          <w:rFonts w:hint="eastAsia" w:cs="Times New Roman"/>
          <w:color w:val="000000" w:themeColor="text1"/>
          <w:szCs w:val="32"/>
          <w:highlight w:val="none"/>
          <w:lang w:eastAsia="zh-CN"/>
          <w14:textFill>
            <w14:solidFill>
              <w14:schemeClr w14:val="tx1"/>
            </w14:solidFill>
          </w14:textFill>
        </w:rPr>
        <w:t>森林草原防灭火</w:t>
      </w:r>
      <w:r>
        <w:rPr>
          <w:rFonts w:hint="default" w:ascii="Times New Roman" w:hAnsi="Times New Roman" w:cs="Times New Roman"/>
          <w:color w:val="000000" w:themeColor="text1"/>
          <w:szCs w:val="32"/>
          <w:highlight w:val="none"/>
          <w14:textFill>
            <w14:solidFill>
              <w14:schemeClr w14:val="tx1"/>
            </w14:solidFill>
          </w14:textFill>
        </w:rPr>
        <w:t>、排污、土壤修复、危化品泄漏处置、火灾监测、高空消防等应用场景</w:t>
      </w:r>
      <w:r>
        <w:rPr>
          <w:rFonts w:hint="eastAsia"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发展“低空+文旅”“低空+物流”“低空+农业”等产业模式。建立专业飞手培训基地，吸引知名无人机制造、科技研发、运营服务等企业设立区域总部、销售运营中心等职能中心及低空产业头部企业入驻，开发通用航空培训等项目，打造面向内蒙古西部领先的无人机、轻型飞机培训基地。探索构建</w:t>
      </w:r>
      <w:r>
        <w:rPr>
          <w:rFonts w:hint="eastAsia" w:cs="Times New Roman"/>
          <w:color w:val="000000" w:themeColor="text1"/>
          <w:szCs w:val="32"/>
          <w:highlight w:val="none"/>
          <w:lang w:eastAsia="zh-CN"/>
          <w14:textFill>
            <w14:solidFill>
              <w14:schemeClr w14:val="tx1"/>
            </w14:solidFill>
          </w14:textFill>
        </w:rPr>
        <w:t>集产业</w:t>
      </w:r>
      <w:r>
        <w:rPr>
          <w:rFonts w:hint="default" w:ascii="Times New Roman" w:hAnsi="Times New Roman" w:cs="Times New Roman"/>
          <w:color w:val="000000" w:themeColor="text1"/>
          <w:szCs w:val="32"/>
          <w:highlight w:val="none"/>
          <w14:textFill>
            <w14:solidFill>
              <w14:schemeClr w14:val="tx1"/>
            </w14:solidFill>
          </w14:textFill>
        </w:rPr>
        <w:t>发展、人才培养、技术创新于一体的产科教融合低空经济生态体系，形成低空经济发展新模式。</w:t>
      </w:r>
    </w:p>
    <w:p w14:paraId="36C2E55F">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大力培育人工智能产业。</w:t>
      </w:r>
      <w:r>
        <w:rPr>
          <w:rFonts w:hint="default" w:ascii="Times New Roman" w:hAnsi="Times New Roman" w:cs="Times New Roman"/>
          <w:color w:val="000000" w:themeColor="text1"/>
          <w:szCs w:val="32"/>
          <w:highlight w:val="none"/>
          <w14:textFill>
            <w14:solidFill>
              <w14:schemeClr w14:val="tx1"/>
            </w14:solidFill>
          </w14:textFill>
        </w:rPr>
        <w:t>系统谋划布局数字经济，积极引进和培育数据服务、智能技术研发等相关项目，推动人工智能技术在研发设计、生产制造、检验检测、供应链管理、商贸服务、文化旅游、健康服务等环节深度融合与创新应用。积极发展大数据、新一代信息技术等数字经济核心产业，推动其绿色化、规模化、集群化发展，打造特色领域网络与数据安全应用示范，提升在全市数字经济中的市场份额。推进公共数据创新应用示范场景建设，推动政务数据资源高效流转与深度利用。积极推动发展焊接、机加工、装车码垛、冶金出炉、智能巡检等工业机器人产业。</w:t>
      </w:r>
    </w:p>
    <w:p w14:paraId="215F256B">
      <w:pPr>
        <w:spacing w:line="560" w:lineRule="exact"/>
        <w:ind w:firstLine="643"/>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加快布局发展其他产业。</w:t>
      </w:r>
      <w:r>
        <w:rPr>
          <w:rFonts w:hint="default" w:ascii="Times New Roman" w:hAnsi="Times New Roman" w:cs="Times New Roman"/>
          <w:color w:val="000000" w:themeColor="text1"/>
          <w:szCs w:val="32"/>
          <w:highlight w:val="none"/>
          <w14:textFill>
            <w14:solidFill>
              <w14:schemeClr w14:val="tx1"/>
            </w14:solidFill>
          </w14:textFill>
        </w:rPr>
        <w:t>谋划布局未来材料产业，建设未来产业平台载体，引育未来产业领军人才，形成具有核心竞争力的关键技术，打造重大应用场景，实现从无到有、从小到大。培育若干个跨行业领域工业互联网平台，打造一批制造业数字化转型促进中心，推进重点用能企业全流程智能化管控，实施全链条数字化低碳改造，加快电解铝等重点行业绿电替代，支持引导企业和园区进入国家绿色制造名单。</w:t>
      </w:r>
    </w:p>
    <w:p w14:paraId="372F2F27">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26" w:name="_Toc5879"/>
      <w:r>
        <w:rPr>
          <w:rFonts w:hint="default" w:ascii="Times New Roman" w:hAnsi="Times New Roman" w:eastAsia="方正楷体_GBK" w:cs="Times New Roman"/>
          <w:b/>
          <w:bCs/>
          <w:color w:val="000000" w:themeColor="text1"/>
          <w:szCs w:val="32"/>
          <w:highlight w:val="none"/>
          <w14:textFill>
            <w14:solidFill>
              <w14:schemeClr w14:val="tx1"/>
            </w14:solidFill>
          </w14:textFill>
        </w:rPr>
        <w:t>第四节 全力培育有影响力的轻工业品牌</w:t>
      </w:r>
      <w:bookmarkEnd w:id="26"/>
    </w:p>
    <w:p w14:paraId="2830B1FA">
      <w:pPr>
        <w:spacing w:line="560" w:lineRule="exact"/>
        <w:ind w:firstLine="64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加快补齐轻工业短板，充分发挥轻工业底蕴优势，支持鹿王、中药厂、骆驼酒业、正北食品等传统老字号创新升级，支持华资实业开展新型微生物菌种筛选与发酵工艺优化、黄原胶及其他产品高端应用领域开发与技术攻关，构建“企业实验室—院士团队—中试平台”三位一体的协同研发体系，进一步推动先进生物技术成果转化。推动北辰从饲料加工向宠物饲料等转变</w:t>
      </w:r>
      <w:r>
        <w:rPr>
          <w:rFonts w:hint="eastAsia"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金鹿油脂从大豆油加工向婴幼儿奶粉加工等细分市场</w:t>
      </w:r>
      <w:r>
        <w:rPr>
          <w:rFonts w:hint="eastAsia" w:cs="Times New Roman"/>
          <w:color w:val="000000" w:themeColor="text1"/>
          <w:szCs w:val="32"/>
          <w:highlight w:val="none"/>
          <w:lang w:eastAsia="zh-CN"/>
          <w14:textFill>
            <w14:solidFill>
              <w14:schemeClr w14:val="tx1"/>
            </w14:solidFill>
          </w14:textFill>
        </w:rPr>
        <w:t>拓展</w:t>
      </w:r>
      <w:r>
        <w:rPr>
          <w:rFonts w:hint="default" w:ascii="Times New Roman" w:hAnsi="Times New Roman" w:cs="Times New Roman"/>
          <w:color w:val="000000" w:themeColor="text1"/>
          <w:szCs w:val="32"/>
          <w:highlight w:val="none"/>
          <w14:textFill>
            <w14:solidFill>
              <w14:schemeClr w14:val="tx1"/>
            </w14:solidFill>
          </w14:textFill>
        </w:rPr>
        <w:t>，</w:t>
      </w:r>
      <w:r>
        <w:rPr>
          <w:rFonts w:hint="eastAsia" w:cs="Times New Roman"/>
          <w:color w:val="000000" w:themeColor="text1"/>
          <w:szCs w:val="32"/>
          <w:highlight w:val="none"/>
          <w:lang w:val="en-US" w:eastAsia="zh-CN"/>
          <w14:textFill>
            <w14:solidFill>
              <w14:schemeClr w14:val="tx1"/>
            </w14:solidFill>
          </w14:textFill>
        </w:rPr>
        <w:t>推动粮食健康产业园建设</w:t>
      </w:r>
      <w:r>
        <w:rPr>
          <w:rFonts w:hint="default" w:ascii="Times New Roman" w:hAnsi="Times New Roman" w:cs="Times New Roman"/>
          <w:color w:val="000000" w:themeColor="text1"/>
          <w:szCs w:val="32"/>
          <w:highlight w:val="none"/>
          <w14:textFill>
            <w14:solidFill>
              <w14:schemeClr w14:val="tx1"/>
            </w14:solidFill>
          </w14:textFill>
        </w:rPr>
        <w:t>，建设企业技术开发中心，发展主食化加工、休闲、营养保健等食品制造产业，继续提高产品附加值。引进品牌中药材深加工企业，支持龙头企业以周边药材为原料生产中药饮片、配方颗粒、中药提取物等产品，推动成熟的</w:t>
      </w:r>
      <w:r>
        <w:rPr>
          <w:rFonts w:hint="eastAsia" w:cs="Times New Roman"/>
          <w:color w:val="000000" w:themeColor="text1"/>
          <w:szCs w:val="32"/>
          <w:highlight w:val="none"/>
          <w:lang w:eastAsia="zh-CN"/>
          <w14:textFill>
            <w14:solidFill>
              <w14:schemeClr w14:val="tx1"/>
            </w14:solidFill>
          </w14:textFill>
        </w:rPr>
        <w:t>中药制剂</w:t>
      </w:r>
      <w:r>
        <w:rPr>
          <w:rFonts w:hint="default" w:ascii="Times New Roman" w:hAnsi="Times New Roman" w:cs="Times New Roman"/>
          <w:color w:val="000000" w:themeColor="text1"/>
          <w:szCs w:val="32"/>
          <w:highlight w:val="none"/>
          <w14:textFill>
            <w14:solidFill>
              <w14:schemeClr w14:val="tx1"/>
            </w14:solidFill>
          </w14:textFill>
        </w:rPr>
        <w:t>在医院使用，探索高纯提取、细胞类等先进技术与中药联动发展。推动食品制造业与电子商务融合发展，鼓励羊绒服装、白酒等企业借助电商平台挖掘发展潜力，以线上销售带动线下销售。推动食品制造业与旅游业融合发展，支持“老字号”企业利用厂房和现代化生产线发展工业旅游，开发特色旅游产品和旅游纪念品。大力实施商标战略，推动金鹿油脂、红卫日化、包头中药厂等“老字号”实现由“品质经营到品牌经营”升华，加快走出去。制定推进“小升规、规改股、股上市”专项扶持政策，助力商标注册、品牌推广，提升品牌影响力。开发利用工业遗产风貌，</w:t>
      </w:r>
      <w:r>
        <w:rPr>
          <w:rFonts w:hint="default" w:ascii="Times New Roman" w:hAnsi="Times New Roman" w:cs="Times New Roman"/>
          <w:color w:val="000000" w:themeColor="text1"/>
          <w:highlight w:val="none"/>
          <w14:textFill>
            <w14:solidFill>
              <w14:schemeClr w14:val="tx1"/>
            </w14:solidFill>
          </w14:textFill>
        </w:rPr>
        <w:t>引导西蒙皮业、明丽佳等发展“前店后厂”业态，畅通“生产—销售—体验”链路，通过“前店展示销售+后厂透明生产”模式，</w:t>
      </w:r>
      <w:r>
        <w:rPr>
          <w:rFonts w:hint="default" w:ascii="Times New Roman" w:hAnsi="Times New Roman" w:cs="Times New Roman"/>
          <w:color w:val="000000" w:themeColor="text1"/>
          <w:szCs w:val="32"/>
          <w:highlight w:val="none"/>
          <w14:textFill>
            <w14:solidFill>
              <w14:schemeClr w14:val="tx1"/>
            </w14:solidFill>
          </w14:textFill>
        </w:rPr>
        <w:t>植入康养宣传、产品介绍、工业研学、直播带货、现场体验等功能，建设集工业文化展示、健康管理、工业体验于一体的轻工业融合产业基地，</w:t>
      </w:r>
      <w:r>
        <w:rPr>
          <w:rFonts w:hint="default" w:ascii="Times New Roman" w:hAnsi="Times New Roman" w:cs="Times New Roman"/>
          <w:color w:val="000000" w:themeColor="text1"/>
          <w:highlight w:val="none"/>
          <w14:textFill>
            <w14:solidFill>
              <w14:schemeClr w14:val="tx1"/>
            </w14:solidFill>
          </w14:textFill>
        </w:rPr>
        <w:t>强化产品新鲜度和体验感，</w:t>
      </w:r>
      <w:r>
        <w:rPr>
          <w:rFonts w:hint="default" w:ascii="Times New Roman" w:hAnsi="Times New Roman" w:cs="Times New Roman"/>
          <w:color w:val="000000" w:themeColor="text1"/>
          <w:szCs w:val="32"/>
          <w:highlight w:val="none"/>
          <w14:textFill>
            <w14:solidFill>
              <w14:schemeClr w14:val="tx1"/>
            </w14:solidFill>
          </w14:textFill>
        </w:rPr>
        <w:t>打</w:t>
      </w:r>
      <w:r>
        <w:rPr>
          <w:rFonts w:hint="eastAsia" w:cs="Times New Roman"/>
          <w:color w:val="000000" w:themeColor="text1"/>
          <w:szCs w:val="32"/>
          <w:highlight w:val="none"/>
          <w:lang w:eastAsia="zh-CN"/>
          <w14:textFill>
            <w14:solidFill>
              <w14:schemeClr w14:val="tx1"/>
            </w14:solidFill>
          </w14:textFill>
        </w:rPr>
        <w:t>造具</w:t>
      </w:r>
      <w:r>
        <w:rPr>
          <w:rFonts w:hint="default" w:ascii="Times New Roman" w:hAnsi="Times New Roman" w:cs="Times New Roman"/>
          <w:color w:val="000000" w:themeColor="text1"/>
          <w:szCs w:val="32"/>
          <w:highlight w:val="none"/>
          <w14:textFill>
            <w14:solidFill>
              <w14:schemeClr w14:val="tx1"/>
            </w14:solidFill>
          </w14:textFill>
        </w:rPr>
        <w:t>有竞争力的特色轻工业品牌。力争“十五五”末产值突破30亿元，培育主板上市企业1家</w:t>
      </w:r>
      <w:r>
        <w:rPr>
          <w:rFonts w:hint="default" w:ascii="Times New Roman" w:hAnsi="Times New Roman" w:cs="Times New Roman"/>
          <w:color w:val="000000" w:themeColor="text1"/>
          <w:highlight w:val="none"/>
          <w14:textFill>
            <w14:solidFill>
              <w14:schemeClr w14:val="tx1"/>
            </w14:solidFill>
          </w14:textFill>
        </w:rPr>
        <w:t>。</w:t>
      </w:r>
    </w:p>
    <w:p w14:paraId="6F28903F">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27" w:name="_Toc19914"/>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第五节 打造绿色低碳铝业产业园区</w:t>
      </w:r>
      <w:bookmarkEnd w:id="27"/>
    </w:p>
    <w:p w14:paraId="0232A538">
      <w:pPr>
        <w:pStyle w:val="79"/>
        <w:spacing w:before="0" w:beforeLines="0" w:after="0" w:afterLines="0" w:line="560" w:lineRule="exact"/>
        <w:outlineLvl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Cs w:val="22"/>
          <w:highlight w:val="none"/>
          <w14:textFill>
            <w14:solidFill>
              <w14:schemeClr w14:val="tx1"/>
            </w14:solidFill>
          </w14:textFill>
        </w:rPr>
        <w:t>聚焦优势产业集中发力，强化项目全生命周期管理，严把投资强度、产出效益等准入关口，依法依规推动低效企业转型或退出，提升园区产业集聚质量和核心竞争力，推进建成产业特色鲜明、要素配置高效、发展动能强劲的低碳水平园区，发挥好区域经济主战场和主阵地作用。加快园区用能结构调整，支持现有企业实施节能降碳改造和用能设备更新，推广低碳</w:t>
      </w:r>
      <w:r>
        <w:rPr>
          <w:rFonts w:hint="eastAsia" w:eastAsia="仿宋_GB2312" w:cs="Times New Roman"/>
          <w:color w:val="000000" w:themeColor="text1"/>
          <w:szCs w:val="22"/>
          <w:highlight w:val="none"/>
          <w:lang w:eastAsia="zh-CN"/>
          <w14:textFill>
            <w14:solidFill>
              <w14:schemeClr w14:val="tx1"/>
            </w14:solidFill>
          </w14:textFill>
        </w:rPr>
        <w:t>技术</w:t>
      </w:r>
      <w:r>
        <w:rPr>
          <w:rFonts w:hint="default" w:ascii="Times New Roman" w:hAnsi="Times New Roman" w:eastAsia="仿宋_GB2312" w:cs="Times New Roman"/>
          <w:color w:val="000000" w:themeColor="text1"/>
          <w:szCs w:val="22"/>
          <w:highlight w:val="none"/>
          <w14:textFill>
            <w14:solidFill>
              <w14:schemeClr w14:val="tx1"/>
            </w14:solidFill>
          </w14:textFill>
        </w:rPr>
        <w:t>应用，自建分布式光伏，建设低碳管理平台和能耗在线监测平台。大力盘活闲置土地、厂房，加快处置盘活“僵尸企业”，释放存量资源潜力。持续推进园区核心区标准化厂房、道路管网、电力燃气等基础设施提质升级，同步完善东兴综合产业园配套功能，全面提升园区综合承载力</w:t>
      </w:r>
      <w:r>
        <w:rPr>
          <w:rFonts w:hint="default" w:ascii="Times New Roman" w:hAnsi="Times New Roman" w:cs="Times New Roman"/>
          <w:color w:val="000000" w:themeColor="text1"/>
          <w:highlight w:val="none"/>
          <w14:textFill>
            <w14:solidFill>
              <w14:schemeClr w14:val="tx1"/>
            </w14:solidFill>
          </w14:textFill>
        </w:rPr>
        <w:t>。</w:t>
      </w:r>
    </w:p>
    <w:p w14:paraId="6BF91136">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28" w:name="_Toc12974"/>
      <w:r>
        <w:rPr>
          <w:rFonts w:hint="default" w:ascii="Times New Roman" w:hAnsi="Times New Roman" w:eastAsia="方正楷体_GBK" w:cs="Times New Roman"/>
          <w:b/>
          <w:bCs/>
          <w:color w:val="000000" w:themeColor="text1"/>
          <w:szCs w:val="32"/>
          <w:highlight w:val="none"/>
          <w14:textFill>
            <w14:solidFill>
              <w14:schemeClr w14:val="tx1"/>
            </w14:solidFill>
          </w14:textFill>
        </w:rPr>
        <w:t>第六节 推进智能化绿色化融合化发展</w:t>
      </w:r>
      <w:bookmarkEnd w:id="28"/>
    </w:p>
    <w:p w14:paraId="4D16237A">
      <w:pPr>
        <w:pStyle w:val="79"/>
        <w:spacing w:before="0" w:beforeLines="0" w:after="0" w:afterLines="0" w:line="560" w:lineRule="exact"/>
        <w:outlineLvl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Cs w:val="22"/>
          <w:highlight w:val="none"/>
          <w14:textFill>
            <w14:solidFill>
              <w14:schemeClr w14:val="tx1"/>
            </w14:solidFill>
          </w14:textFill>
        </w:rPr>
        <w:t>实施智能制造工程、绿色制造工程和融合发展工程，打造高“含金含绿含新”、</w:t>
      </w:r>
      <w:r>
        <w:rPr>
          <w:rFonts w:hint="eastAsia" w:eastAsia="仿宋_GB2312" w:cs="Times New Roman"/>
          <w:color w:val="000000" w:themeColor="text1"/>
          <w:szCs w:val="22"/>
          <w:highlight w:val="none"/>
          <w:lang w:eastAsia="zh-CN"/>
          <w14:textFill>
            <w14:solidFill>
              <w14:schemeClr w14:val="tx1"/>
            </w14:solidFill>
          </w14:textFill>
        </w:rPr>
        <w:t>具有持续韧性</w:t>
      </w:r>
      <w:r>
        <w:rPr>
          <w:rFonts w:hint="default" w:ascii="Times New Roman" w:hAnsi="Times New Roman" w:eastAsia="仿宋_GB2312" w:cs="Times New Roman"/>
          <w:color w:val="000000" w:themeColor="text1"/>
          <w:szCs w:val="22"/>
          <w:highlight w:val="none"/>
          <w14:textFill>
            <w14:solidFill>
              <w14:schemeClr w14:val="tx1"/>
            </w14:solidFill>
          </w14:textFill>
        </w:rPr>
        <w:t>的新质生产力体系，增强产业核心竞争力</w:t>
      </w:r>
      <w:r>
        <w:rPr>
          <w:rFonts w:hint="eastAsia" w:eastAsia="仿宋_GB2312" w:cs="Times New Roman"/>
          <w:color w:val="000000" w:themeColor="text1"/>
          <w:szCs w:val="2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Cs w:val="22"/>
          <w:highlight w:val="none"/>
          <w14:textFill>
            <w14:solidFill>
              <w14:schemeClr w14:val="tx1"/>
            </w14:solidFill>
          </w14:textFill>
        </w:rPr>
        <w:t>促进产业向价值链中高端跃升，助力高质量发展。</w:t>
      </w:r>
      <w:r>
        <w:rPr>
          <w:rFonts w:hint="default" w:ascii="Times New Roman" w:hAnsi="Times New Roman" w:eastAsia="仿宋_GB2312" w:cs="Times New Roman"/>
          <w:b/>
          <w:bCs/>
          <w:color w:val="000000" w:themeColor="text1"/>
          <w:szCs w:val="22"/>
          <w:highlight w:val="none"/>
          <w14:textFill>
            <w14:solidFill>
              <w14:schemeClr w14:val="tx1"/>
            </w14:solidFill>
          </w14:textFill>
        </w:rPr>
        <w:t>大力推进智能制造，</w:t>
      </w:r>
      <w:r>
        <w:rPr>
          <w:rFonts w:hint="default" w:ascii="Times New Roman" w:hAnsi="Times New Roman" w:eastAsia="仿宋_GB2312" w:cs="Times New Roman"/>
          <w:color w:val="000000" w:themeColor="text1"/>
          <w:szCs w:val="22"/>
          <w:highlight w:val="none"/>
          <w14:textFill>
            <w14:solidFill>
              <w14:schemeClr w14:val="tx1"/>
            </w14:solidFill>
          </w14:textFill>
        </w:rPr>
        <w:t>开展智能工厂梯度培育行动，加快产业数字化、智能化转型，打造先进级智能工厂、国家卓越级智能工厂；深入实施</w:t>
      </w:r>
      <w:r>
        <w:rPr>
          <w:rFonts w:hint="eastAsia" w:eastAsia="仿宋_GB2312" w:cs="Times New Roman"/>
          <w:color w:val="000000" w:themeColor="text1"/>
          <w:szCs w:val="22"/>
          <w:highlight w:val="none"/>
          <w:lang w:eastAsia="zh-CN"/>
          <w14:textFill>
            <w14:solidFill>
              <w14:schemeClr w14:val="tx1"/>
            </w14:solidFill>
          </w14:textFill>
        </w:rPr>
        <w:t>“上云用数赋智”</w:t>
      </w:r>
      <w:r>
        <w:rPr>
          <w:rFonts w:hint="default" w:ascii="Times New Roman" w:hAnsi="Times New Roman" w:eastAsia="仿宋_GB2312" w:cs="Times New Roman"/>
          <w:color w:val="000000" w:themeColor="text1"/>
          <w:szCs w:val="22"/>
          <w:highlight w:val="none"/>
          <w14:textFill>
            <w14:solidFill>
              <w14:schemeClr w14:val="tx1"/>
            </w14:solidFill>
          </w14:textFill>
        </w:rPr>
        <w:t>行动，加快工业互联网平台建设，培育一批数字化车间、智能工厂、未来工厂等工业数字化典型场景；实施新一代信息技术赋能生产性服务业行动，</w:t>
      </w:r>
      <w:r>
        <w:rPr>
          <w:rFonts w:hint="eastAsia" w:eastAsia="仿宋_GB2312" w:cs="Times New Roman"/>
          <w:color w:val="000000" w:themeColor="text1"/>
          <w:szCs w:val="22"/>
          <w:highlight w:val="none"/>
          <w:lang w:val="en-US" w:eastAsia="zh-CN"/>
          <w14:textFill>
            <w14:solidFill>
              <w14:schemeClr w14:val="tx1"/>
            </w14:solidFill>
          </w14:textFill>
        </w:rPr>
        <w:t>提升</w:t>
      </w:r>
      <w:r>
        <w:rPr>
          <w:rFonts w:hint="default" w:ascii="Times New Roman" w:hAnsi="Times New Roman" w:eastAsia="仿宋_GB2312" w:cs="Times New Roman"/>
          <w:color w:val="000000" w:themeColor="text1"/>
          <w:szCs w:val="22"/>
          <w:highlight w:val="none"/>
          <w14:textFill>
            <w14:solidFill>
              <w14:schemeClr w14:val="tx1"/>
            </w14:solidFill>
          </w14:textFill>
        </w:rPr>
        <w:t>商贸、文旅等生活性服务业数字化服务水平。</w:t>
      </w:r>
      <w:r>
        <w:rPr>
          <w:rFonts w:hint="default" w:ascii="Times New Roman" w:hAnsi="Times New Roman" w:eastAsia="仿宋_GB2312" w:cs="Times New Roman"/>
          <w:b/>
          <w:bCs/>
          <w:color w:val="000000" w:themeColor="text1"/>
          <w:szCs w:val="22"/>
          <w:highlight w:val="none"/>
          <w14:textFill>
            <w14:solidFill>
              <w14:schemeClr w14:val="tx1"/>
            </w14:solidFill>
          </w14:textFill>
        </w:rPr>
        <w:t>大力推进绿色制造，</w:t>
      </w:r>
      <w:r>
        <w:rPr>
          <w:rFonts w:hint="default" w:ascii="Times New Roman" w:hAnsi="Times New Roman" w:eastAsia="仿宋_GB2312" w:cs="Times New Roman"/>
          <w:color w:val="000000" w:themeColor="text1"/>
          <w:szCs w:val="22"/>
          <w:highlight w:val="none"/>
          <w14:textFill>
            <w14:solidFill>
              <w14:schemeClr w14:val="tx1"/>
            </w14:solidFill>
          </w14:textFill>
        </w:rPr>
        <w:t>实施电解铝绿色低碳改造，持续推进火电机组调峰改造，支持包铝2.1GW新能源电站并网发电并形成稳定绿电供应能力，稳步实现低碳发展目标；加快推进包铝国内国际绿电铝认证，探索开展绿电铝产品欧盟碳足迹核算与认证，进一步打通绿电价值向产品竞争力转化的通道。支持绿色产品认证，建设绿色工厂、绿色低碳园区，构建绿色供应链，到“十五五”期末新增绿色工厂5家，绿色供应链企业3家。</w:t>
      </w:r>
      <w:r>
        <w:rPr>
          <w:rFonts w:hint="default" w:ascii="Times New Roman" w:hAnsi="Times New Roman" w:eastAsia="仿宋_GB2312" w:cs="Times New Roman"/>
          <w:b/>
          <w:bCs/>
          <w:color w:val="000000" w:themeColor="text1"/>
          <w:szCs w:val="22"/>
          <w:highlight w:val="none"/>
          <w14:textFill>
            <w14:solidFill>
              <w14:schemeClr w14:val="tx1"/>
            </w14:solidFill>
          </w14:textFill>
        </w:rPr>
        <w:t>大力推进融合发展</w:t>
      </w:r>
      <w:r>
        <w:rPr>
          <w:rFonts w:hint="default" w:ascii="Times New Roman" w:hAnsi="Times New Roman" w:eastAsia="仿宋_GB2312" w:cs="Times New Roman"/>
          <w:color w:val="000000" w:themeColor="text1"/>
          <w:szCs w:val="22"/>
          <w:highlight w:val="none"/>
          <w14:textFill>
            <w14:solidFill>
              <w14:schemeClr w14:val="tx1"/>
            </w14:solidFill>
          </w14:textFill>
        </w:rPr>
        <w:t>，实施融合发展工程，促进先进制造业与现代服务业融合发展、数字经济与实体经济融合发展、产业链各环节和供应链上中下游融合发展等多元多维度融合发展。</w:t>
      </w:r>
    </w:p>
    <w:p w14:paraId="655BEE96">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29" w:name="_Toc15835"/>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第七节 加快打造精品农业样板区</w:t>
      </w:r>
      <w:bookmarkEnd w:id="29"/>
    </w:p>
    <w:p w14:paraId="12DCE695">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以建设有影响力的“菜篮子”基地为目标，立足“三沿三带”总体布局，强化标准化和品牌化建设，加快发展现代设施农业、设施渔业，开发集“观光农场+民俗体验+民宿集群”为一体的田园综合体项目，到2030年全区粮食播种面积稳定在9万亩，设施农业面积达到5万亩，蔬菜产量达到60万吨，建成田园综合体项目2—3个、乡村露营等农旅品牌10个以上。</w:t>
      </w:r>
      <w:r>
        <w:rPr>
          <w:rFonts w:hint="default" w:ascii="Times New Roman" w:hAnsi="Times New Roman" w:cs="Times New Roman"/>
          <w:b/>
          <w:bCs/>
          <w:color w:val="000000" w:themeColor="text1"/>
          <w:szCs w:val="32"/>
          <w:highlight w:val="none"/>
          <w14:textFill>
            <w14:solidFill>
              <w14:schemeClr w14:val="tx1"/>
            </w14:solidFill>
          </w14:textFill>
        </w:rPr>
        <w:t>着力优化设施农业布局，</w:t>
      </w:r>
      <w:r>
        <w:rPr>
          <w:rFonts w:hint="default" w:ascii="Times New Roman" w:hAnsi="Times New Roman" w:cs="Times New Roman"/>
          <w:color w:val="000000" w:themeColor="text1"/>
          <w:szCs w:val="32"/>
          <w:highlight w:val="none"/>
          <w14:textFill>
            <w14:solidFill>
              <w14:schemeClr w14:val="tx1"/>
            </w14:solidFill>
          </w14:textFill>
        </w:rPr>
        <w:t>按照“成片发展、一区一品”思路，加快推进沿110国道两侧设施农业改造，申报高标准农田提标升级项目及盐碱地改良项目5万亩，打造万亩以上设施农业产业园区3个、千亩功能片区4个、百亩试验基地15个、3亿株育苗基地1个、1亿株育苗基地2个。持续整合各类支农资金、吸引社会投资，推进老旧温室改造，优化经营模式，扩大设施农业规模，塑造“健康安全新鲜城郊菜园”区域IP，力争“十五五”末设施蔬菜百亩以上经营主体达50家以上，精品果蔬生产基地达25家以上，蔬菜产业社会化服务主体达40家以上，年蔬菜育苗能力达5亿株以上。</w:t>
      </w:r>
      <w:r>
        <w:rPr>
          <w:rFonts w:hint="default" w:ascii="Times New Roman" w:hAnsi="Times New Roman" w:cs="Times New Roman"/>
          <w:b/>
          <w:bCs/>
          <w:color w:val="000000" w:themeColor="text1"/>
          <w:szCs w:val="32"/>
          <w:highlight w:val="none"/>
          <w14:textFill>
            <w14:solidFill>
              <w14:schemeClr w14:val="tx1"/>
            </w14:solidFill>
          </w14:textFill>
        </w:rPr>
        <w:t>着力做大畜牧水产养殖业</w:t>
      </w:r>
      <w:r>
        <w:rPr>
          <w:rFonts w:hint="default" w:ascii="Times New Roman" w:hAnsi="Times New Roman" w:cs="Times New Roman"/>
          <w:color w:val="000000" w:themeColor="text1"/>
          <w:szCs w:val="32"/>
          <w:highlight w:val="none"/>
          <w14:textFill>
            <w14:solidFill>
              <w14:schemeClr w14:val="tx1"/>
            </w14:solidFill>
          </w14:textFill>
        </w:rPr>
        <w:t>。以规模化、设施化、智慧化为导向，沿315省道建设现代智慧化养殖园，补齐冷链物流和深加工短板，吸引肉牛、肉羊、生猪、蛋鸡、特色养殖企业及饲料加工、畜产品加工、物流配送、屠宰等相关企业入驻，实现养殖自动化、精准化控制，全面提升产品质量。依托黄河沿岸水域滩涂和大青山南坡丰富山泉水资源，集中布局设施养殖、智慧养殖、水产品加工、物流配送、技术研发等功能区，发展黄河鲤鱼、中华绒螯蟹、鲈鱼、虹鳟鱼等优势特色高价值水产养殖，形成“企业+农户”合作模式，打造沿黄、沿山两个渔业产业带。</w:t>
      </w:r>
      <w:r>
        <w:rPr>
          <w:rFonts w:hint="default" w:ascii="Times New Roman" w:hAnsi="Times New Roman" w:cs="Times New Roman"/>
          <w:b/>
          <w:bCs/>
          <w:color w:val="000000" w:themeColor="text1"/>
          <w:szCs w:val="32"/>
          <w:highlight w:val="none"/>
          <w14:textFill>
            <w14:solidFill>
              <w14:schemeClr w14:val="tx1"/>
            </w14:solidFill>
          </w14:textFill>
        </w:rPr>
        <w:t>着力强化农业科技支撑。</w:t>
      </w:r>
      <w:r>
        <w:rPr>
          <w:rFonts w:hint="default" w:ascii="Times New Roman" w:hAnsi="Times New Roman" w:cs="Times New Roman"/>
          <w:color w:val="000000" w:themeColor="text1"/>
          <w:szCs w:val="32"/>
          <w:highlight w:val="none"/>
          <w14:textFill>
            <w14:solidFill>
              <w14:schemeClr w14:val="tx1"/>
            </w14:solidFill>
          </w14:textFill>
        </w:rPr>
        <w:t>充分利用农业农村大数据平台和自治区级“看禾选种”平台，发展智慧设施种植业和智慧农田建设，引导农民种植经济效益高的蔬菜品种，设施种植业生产信息化率达90%以上。组建农业科技特派员工作站，每年组织科技特派员深入一线开展农业科技服务300人次以上，为农民提供技术指导和培训服务。开展科学施肥增效、控药减害行动，加大耕地轮作、测土配方施肥等，推广先进设施农业技术，建设智慧农业综合操作平台，提升设施农业智慧化水平，力争五年内全区设施农业简易水肥一体化设施使用率提升至80%以上，保持温室棉被电动起放装备配置率100%，实现农业节水60%以上。</w:t>
      </w:r>
      <w:r>
        <w:rPr>
          <w:rFonts w:hint="default" w:ascii="Times New Roman" w:hAnsi="Times New Roman" w:cs="Times New Roman"/>
          <w:b/>
          <w:bCs/>
          <w:color w:val="000000" w:themeColor="text1"/>
          <w:szCs w:val="32"/>
          <w:highlight w:val="none"/>
          <w14:textFill>
            <w14:solidFill>
              <w14:schemeClr w14:val="tx1"/>
            </w14:solidFill>
          </w14:textFill>
        </w:rPr>
        <w:t>着力打造农业优质品牌。</w:t>
      </w:r>
      <w:r>
        <w:rPr>
          <w:rFonts w:hint="default" w:ascii="Times New Roman" w:hAnsi="Times New Roman" w:cs="Times New Roman"/>
          <w:color w:val="000000" w:themeColor="text1"/>
          <w:szCs w:val="32"/>
          <w:highlight w:val="none"/>
          <w14:textFill>
            <w14:solidFill>
              <w14:schemeClr w14:val="tx1"/>
            </w14:solidFill>
          </w14:textFill>
        </w:rPr>
        <w:t>持续做大做强“绿蔬东河”农产品区域公用品牌，每年培育国家名特优新农产品2个以上、“绿蔬东河”系列优质农产品20个以上。</w:t>
      </w:r>
      <w:r>
        <w:rPr>
          <w:rFonts w:hint="default" w:ascii="Times New Roman" w:hAnsi="Times New Roman" w:cs="Times New Roman"/>
          <w:color w:val="000000" w:themeColor="text1"/>
          <w:highlight w:val="none"/>
          <w14:textFill>
            <w14:solidFill>
              <w14:schemeClr w14:val="tx1"/>
            </w14:solidFill>
          </w14:textFill>
        </w:rPr>
        <w:t>加快培育黄河鲤鱼、中华绒螯蟹、鲈鱼、虹鳟鱼等渔业的区域公用品牌，形成种苗、养殖、加工等系列品牌产品。</w:t>
      </w:r>
      <w:r>
        <w:rPr>
          <w:rFonts w:hint="default" w:ascii="Times New Roman" w:hAnsi="Times New Roman" w:cs="Times New Roman"/>
          <w:b/>
          <w:bCs/>
          <w:color w:val="000000" w:themeColor="text1"/>
          <w:szCs w:val="32"/>
          <w:highlight w:val="none"/>
          <w14:textFill>
            <w14:solidFill>
              <w14:schemeClr w14:val="tx1"/>
            </w14:solidFill>
          </w14:textFill>
        </w:rPr>
        <w:t>着力拓展农业市场合作。</w:t>
      </w:r>
      <w:r>
        <w:rPr>
          <w:rFonts w:hint="default" w:ascii="Times New Roman" w:hAnsi="Times New Roman" w:cs="Times New Roman"/>
          <w:color w:val="000000" w:themeColor="text1"/>
          <w:szCs w:val="32"/>
          <w:highlight w:val="none"/>
          <w14:textFill>
            <w14:solidFill>
              <w14:schemeClr w14:val="tx1"/>
            </w14:solidFill>
          </w14:textFill>
        </w:rPr>
        <w:t>充分发挥蔬菜生产运销协会作用，大力发展订单农业，实现年销售额1亿元以上。围绕“好产品卖出好价格”，组织合作社、农企等与大型电商合作，拓展外地市场，设立“绿蔬东河”农产品展柜，让更多农副产品卖上好价格。利用新媒体、自媒体等手段推广区域公用品牌，每年组织农产品专场推介会不少于5场，邀请网红宣传推广精品农畜产品品牌，带动特色农产品走出去。推动农贸市场本地蔬菜直采直供专区全覆盖，形成“上连蔬菜基地、下连各直销点”运行机制，完善农产品销售网络。</w:t>
      </w:r>
      <w:r>
        <w:rPr>
          <w:rFonts w:hint="default" w:ascii="Times New Roman" w:hAnsi="Times New Roman" w:cs="Times New Roman"/>
          <w:b/>
          <w:bCs/>
          <w:color w:val="000000" w:themeColor="text1"/>
          <w:highlight w:val="none"/>
          <w14:textFill>
            <w14:solidFill>
              <w14:schemeClr w14:val="tx1"/>
            </w14:solidFill>
          </w14:textFill>
        </w:rPr>
        <w:t>推动</w:t>
      </w:r>
      <w:r>
        <w:rPr>
          <w:rFonts w:hint="eastAsia" w:cs="Times New Roman"/>
          <w:b/>
          <w:bCs/>
          <w:color w:val="000000" w:themeColor="text1"/>
          <w:highlight w:val="none"/>
          <w:lang w:eastAsia="zh-CN"/>
          <w14:textFill>
            <w14:solidFill>
              <w14:schemeClr w14:val="tx1"/>
            </w14:solidFill>
          </w14:textFill>
        </w:rPr>
        <w:t>一二三产业融合</w:t>
      </w:r>
      <w:r>
        <w:rPr>
          <w:rFonts w:hint="default" w:ascii="Times New Roman" w:hAnsi="Times New Roman" w:cs="Times New Roman"/>
          <w:b/>
          <w:bCs/>
          <w:color w:val="000000" w:themeColor="text1"/>
          <w:highlight w:val="none"/>
          <w14:textFill>
            <w14:solidFill>
              <w14:schemeClr w14:val="tx1"/>
            </w14:solidFill>
          </w14:textFill>
        </w:rPr>
        <w:t>发展。</w:t>
      </w:r>
      <w:r>
        <w:rPr>
          <w:rFonts w:hint="default" w:ascii="Times New Roman" w:hAnsi="Times New Roman" w:cs="Times New Roman"/>
          <w:color w:val="000000" w:themeColor="text1"/>
          <w:highlight w:val="none"/>
          <w14:textFill>
            <w14:solidFill>
              <w14:schemeClr w14:val="tx1"/>
            </w14:solidFill>
          </w14:textFill>
        </w:rPr>
        <w:t>加大对农产品加工企业支持力度，引进培育一批农产品精深加工龙头企业。鼓励红卫日化全产业链布局，引导北辰饲料提高产品影响力，支持金鹿油脂、鹿王等企业开发高附加值产品，推进渔业种苗、养殖、特色产品加工融合发展，在沿山、沿黄、沿路集中连片的村庄发展集“观光农场+民俗体验+民宿集群”为一体的田园综合体项目，力争到2030年，建成集农业观光、休闲度假、科普教育等多功能于一体的田园综合体项目2—3个，发展乡村露营等农旅品牌不少于10个。</w:t>
      </w:r>
    </w:p>
    <w:p w14:paraId="3F869FCC">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30" w:name="_Toc11510"/>
      <w:r>
        <w:rPr>
          <w:rFonts w:hint="default" w:ascii="Times New Roman" w:hAnsi="Times New Roman" w:eastAsia="方正楷体_GBK" w:cs="Times New Roman"/>
          <w:b/>
          <w:bCs/>
          <w:color w:val="000000" w:themeColor="text1"/>
          <w:szCs w:val="32"/>
          <w:highlight w:val="none"/>
          <w14:textFill>
            <w14:solidFill>
              <w14:schemeClr w14:val="tx1"/>
            </w14:solidFill>
          </w14:textFill>
        </w:rPr>
        <w:t>第八节 加快建设生产性服务业基地</w:t>
      </w:r>
      <w:bookmarkEnd w:id="30"/>
    </w:p>
    <w:p w14:paraId="2AAD1B65">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聚焦专业化、精细化、高端化方向，推动生产性服务业与制造业融合升级，打造全链协同、供需匹配的产业体系，不断优化供应链生态，赋能实体经济高质量发展。 </w:t>
      </w:r>
    </w:p>
    <w:p w14:paraId="4E00B3B4">
      <w:pPr>
        <w:spacing w:line="560" w:lineRule="exact"/>
        <w:ind w:firstLine="64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着力建设服务沿黄经济带</w:t>
      </w:r>
      <w:r>
        <w:rPr>
          <w:rFonts w:hint="eastAsia" w:cs="Times New Roman"/>
          <w:b/>
          <w:bCs/>
          <w:color w:val="000000" w:themeColor="text1"/>
          <w:highlight w:val="none"/>
          <w:lang w:eastAsia="zh-CN"/>
          <w14:textFill>
            <w14:solidFill>
              <w14:schemeClr w14:val="tx1"/>
            </w14:solidFill>
          </w14:textFill>
        </w:rPr>
        <w:t>的重要</w:t>
      </w:r>
      <w:r>
        <w:rPr>
          <w:rFonts w:hint="default" w:ascii="Times New Roman" w:hAnsi="Times New Roman" w:cs="Times New Roman"/>
          <w:b/>
          <w:bCs/>
          <w:color w:val="000000" w:themeColor="text1"/>
          <w:highlight w:val="none"/>
          <w14:textFill>
            <w14:solidFill>
              <w14:schemeClr w14:val="tx1"/>
            </w14:solidFill>
          </w14:textFill>
        </w:rPr>
        <w:t>物流集散地。</w:t>
      </w:r>
      <w:r>
        <w:rPr>
          <w:rFonts w:hint="default" w:ascii="Times New Roman" w:hAnsi="Times New Roman" w:cs="Times New Roman"/>
          <w:color w:val="000000" w:themeColor="text1"/>
          <w:szCs w:val="32"/>
          <w:highlight w:val="none"/>
          <w14:textFill>
            <w14:solidFill>
              <w14:schemeClr w14:val="tx1"/>
            </w14:solidFill>
          </w14:textFill>
        </w:rPr>
        <w:t>以打通物流大动脉为优先突破口，依托公、铁、空立体交通条件，持续完善“一信息平台、三物流园区、五大陆港、N个物流项目”物流产业体系，深度嵌入区域骨干流通网络，持续降低社会物流总成本，打造服务呼包鄂</w:t>
      </w:r>
      <w:r>
        <w:rPr>
          <w:rFonts w:hint="eastAsia"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对接沿黄经济带的重要物流集散地，为全市产业“大进大出”提供支撑。积极鼓励相关企业增加中欧班列班次，加强与天津港“公铁海”联运合作，增强“向北、向东”物流运输能力。推动发展物流业平台经济，建设“网络+金融+供应链”一体化物流信息平台，实现物流链条两端向数字货运和平台化方向转型，力争“十五五”末构建起智慧化、专业化的现代化物流体系，打造呼包鄂区域物流效率领先、成本较低的综合枢纽</w:t>
      </w:r>
      <w:r>
        <w:rPr>
          <w:rFonts w:hint="eastAsia"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kern w:val="0"/>
          <w:szCs w:val="32"/>
          <w:highlight w:val="none"/>
          <w14:textFill>
            <w14:solidFill>
              <w14:schemeClr w14:val="tx1"/>
            </w14:solidFill>
          </w14:textFill>
        </w:rPr>
        <w:t>物流成本进一步降低，货物周转效率不断提升</w:t>
      </w:r>
      <w:r>
        <w:rPr>
          <w:rFonts w:hint="default" w:ascii="Times New Roman" w:hAnsi="Times New Roman" w:cs="Times New Roman"/>
          <w:color w:val="000000" w:themeColor="text1"/>
          <w:szCs w:val="32"/>
          <w:highlight w:val="none"/>
          <w14:textFill>
            <w14:solidFill>
              <w14:schemeClr w14:val="tx1"/>
            </w14:solidFill>
          </w14:textFill>
        </w:rPr>
        <w:t>。探索建立铝产品金融托盘业务与期货交割仓库，着力缩短大宗铝产品原材料的交易周期，切实提升交易效率。加快园区新能源充换电网络布局与发展，完善新能源配套服务体系，“十五五”末基本实现新能源充换电站覆盖园区所有物流节点，</w:t>
      </w:r>
      <w:r>
        <w:rPr>
          <w:rFonts w:hint="eastAsia" w:cs="Times New Roman"/>
          <w:color w:val="000000" w:themeColor="text1"/>
          <w:szCs w:val="32"/>
          <w:highlight w:val="none"/>
          <w:lang w:eastAsia="zh-CN"/>
          <w14:textFill>
            <w14:solidFill>
              <w14:schemeClr w14:val="tx1"/>
            </w14:solidFill>
          </w14:textFill>
        </w:rPr>
        <w:t>为</w:t>
      </w:r>
      <w:r>
        <w:rPr>
          <w:rFonts w:hint="default" w:ascii="Times New Roman" w:hAnsi="Times New Roman" w:cs="Times New Roman"/>
          <w:color w:val="000000" w:themeColor="text1"/>
          <w:szCs w:val="32"/>
          <w:highlight w:val="none"/>
          <w14:textFill>
            <w14:solidFill>
              <w14:schemeClr w14:val="tx1"/>
            </w14:solidFill>
          </w14:textFill>
        </w:rPr>
        <w:t>园区物流运输</w:t>
      </w:r>
      <w:r>
        <w:rPr>
          <w:rFonts w:hint="eastAsia" w:cs="Times New Roman"/>
          <w:color w:val="000000" w:themeColor="text1"/>
          <w:szCs w:val="32"/>
          <w:highlight w:val="none"/>
          <w:lang w:eastAsia="zh-CN"/>
          <w14:textFill>
            <w14:solidFill>
              <w14:schemeClr w14:val="tx1"/>
            </w14:solidFill>
          </w14:textFill>
        </w:rPr>
        <w:t>提供</w:t>
      </w:r>
      <w:r>
        <w:rPr>
          <w:rFonts w:hint="default" w:ascii="Times New Roman" w:hAnsi="Times New Roman" w:cs="Times New Roman"/>
          <w:color w:val="000000" w:themeColor="text1"/>
          <w:szCs w:val="32"/>
          <w:highlight w:val="none"/>
          <w14:textFill>
            <w14:solidFill>
              <w14:schemeClr w14:val="tx1"/>
            </w14:solidFill>
          </w14:textFill>
        </w:rPr>
        <w:t>低碳能源支撑，为铝产业转型升级提供关键物流与能源保障。推动城市共同配送体系建设，以批发、医药、食品等商贸批发业寄递物流需求为导向，支持企业搭建串联包装、仓储、寄递等上下游配套</w:t>
      </w:r>
      <w:r>
        <w:rPr>
          <w:rFonts w:hint="eastAsia" w:cs="Times New Roman"/>
          <w:color w:val="000000" w:themeColor="text1"/>
          <w:szCs w:val="32"/>
          <w:highlight w:val="none"/>
          <w:lang w:eastAsia="zh-CN"/>
          <w14:textFill>
            <w14:solidFill>
              <w14:schemeClr w14:val="tx1"/>
            </w14:solidFill>
          </w14:textFill>
        </w:rPr>
        <w:t>资源</w:t>
      </w:r>
      <w:r>
        <w:rPr>
          <w:rFonts w:hint="default" w:ascii="Times New Roman" w:hAnsi="Times New Roman" w:cs="Times New Roman"/>
          <w:color w:val="000000" w:themeColor="text1"/>
          <w:szCs w:val="32"/>
          <w:highlight w:val="none"/>
          <w14:textFill>
            <w14:solidFill>
              <w14:schemeClr w14:val="tx1"/>
            </w14:solidFill>
          </w14:textFill>
        </w:rPr>
        <w:t>的综合物流平台，推动城市货物配送时效提升、成本降低，增强物流服务实体经济新动能。前瞻性布局“低空+物流”产业，谋划推进包头东部区无人机物流配送园</w:t>
      </w:r>
      <w:r>
        <w:rPr>
          <w:rFonts w:hint="eastAsia" w:cs="Times New Roman"/>
          <w:color w:val="000000" w:themeColor="text1"/>
          <w:szCs w:val="32"/>
          <w:highlight w:val="none"/>
          <w:lang w:eastAsia="zh-CN"/>
          <w14:textFill>
            <w14:solidFill>
              <w14:schemeClr w14:val="tx1"/>
            </w14:solidFill>
          </w14:textFill>
        </w:rPr>
        <w:t>建设，</w:t>
      </w:r>
      <w:r>
        <w:rPr>
          <w:rFonts w:hint="default" w:ascii="Times New Roman" w:hAnsi="Times New Roman" w:cs="Times New Roman"/>
          <w:color w:val="000000" w:themeColor="text1"/>
          <w:szCs w:val="32"/>
          <w:highlight w:val="none"/>
          <w14:textFill>
            <w14:solidFill>
              <w14:schemeClr w14:val="tx1"/>
            </w14:solidFill>
          </w14:textFill>
        </w:rPr>
        <w:t>系统布局标准化仓储设施、专业化无人机跑道等全链条服务设施，引领区域物流业态升级。大力发展多式联运，推动铁路专用线、公路连接线、航空货运配套设施建设与改造，破解公铁、公空联运制约点，发展公铁联运、公空联运，形成公、铁、空三位一体多式联运物流节点体系，多式联运占比逐年提升，力争将东河区打造成区域性多式联运中心枢纽。完善冷链物流体系，拓展冷链物流</w:t>
      </w:r>
      <w:r>
        <w:rPr>
          <w:rFonts w:hint="eastAsia" w:cs="Times New Roman"/>
          <w:color w:val="000000" w:themeColor="text1"/>
          <w:szCs w:val="32"/>
          <w:highlight w:val="none"/>
          <w:lang w:eastAsia="zh-CN"/>
          <w14:textFill>
            <w14:solidFill>
              <w14:schemeClr w14:val="tx1"/>
            </w14:solidFill>
          </w14:textFill>
        </w:rPr>
        <w:t>市场</w:t>
      </w:r>
      <w:r>
        <w:rPr>
          <w:rFonts w:hint="default" w:ascii="Times New Roman" w:hAnsi="Times New Roman" w:cs="Times New Roman"/>
          <w:color w:val="000000" w:themeColor="text1"/>
          <w:szCs w:val="32"/>
          <w:highlight w:val="none"/>
          <w14:textFill>
            <w14:solidFill>
              <w14:schemeClr w14:val="tx1"/>
            </w14:solidFill>
          </w14:textFill>
        </w:rPr>
        <w:t>，全力推动冷链物流项目落地见效，不断扩充冷链物流仓储承载能力，逐步提高农产品冷链流通的整体覆盖水平，货物流通辐射全国，助力东河区农产品走出去。</w:t>
      </w:r>
      <w:r>
        <w:rPr>
          <w:rFonts w:hint="default" w:ascii="Times New Roman" w:hAnsi="Times New Roman" w:cs="Times New Roman"/>
          <w:color w:val="000000" w:themeColor="text1"/>
          <w:highlight w:val="none"/>
          <w14:textFill>
            <w14:solidFill>
              <w14:schemeClr w14:val="tx1"/>
            </w14:solidFill>
          </w14:textFill>
        </w:rPr>
        <w:t>强化物流主体建设，支持培育以龙头企业为引领、以区内外专业化物流企业为</w:t>
      </w:r>
      <w:r>
        <w:rPr>
          <w:rFonts w:hint="eastAsia" w:cs="Times New Roman"/>
          <w:color w:val="000000" w:themeColor="text1"/>
          <w:highlight w:val="none"/>
          <w:lang w:eastAsia="zh-CN"/>
          <w14:textFill>
            <w14:solidFill>
              <w14:schemeClr w14:val="tx1"/>
            </w14:solidFill>
          </w14:textFill>
        </w:rPr>
        <w:t>支撑</w:t>
      </w:r>
      <w:r>
        <w:rPr>
          <w:rFonts w:hint="default" w:ascii="Times New Roman" w:hAnsi="Times New Roman" w:cs="Times New Roman"/>
          <w:color w:val="000000" w:themeColor="text1"/>
          <w:highlight w:val="none"/>
          <w14:textFill>
            <w14:solidFill>
              <w14:schemeClr w14:val="tx1"/>
            </w14:solidFill>
          </w14:textFill>
        </w:rPr>
        <w:t>的大型集团化物流企业，提高物流专业化服务水平，建设集仓储中心、配送中心、货运中心、信息网络中心等多项功能为一体的综合配套物流基础设施</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鼓励新材料、信息化技术、绿电技术等在物流领域应用。</w:t>
      </w:r>
    </w:p>
    <w:p w14:paraId="0BFADB35">
      <w:pPr>
        <w:spacing w:line="560" w:lineRule="exact"/>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培育壮大金融服务业。</w:t>
      </w:r>
      <w:r>
        <w:rPr>
          <w:rFonts w:hint="default" w:ascii="Times New Roman" w:hAnsi="Times New Roman" w:cs="Times New Roman"/>
          <w:color w:val="000000" w:themeColor="text1"/>
          <w:szCs w:val="32"/>
          <w:highlight w:val="none"/>
          <w14:textFill>
            <w14:solidFill>
              <w14:schemeClr w14:val="tx1"/>
            </w14:solidFill>
          </w14:textFill>
        </w:rPr>
        <w:t>积极引进商业银行、证券、保险、信托、租赁、风投等金融机构，鼓励设立信托类、资产评估等金融中介机构，组建融资性担保公司等金融组织，提高金融服务实体经济和社会民生</w:t>
      </w:r>
      <w:r>
        <w:rPr>
          <w:rFonts w:hint="eastAsia" w:cs="Times New Roman"/>
          <w:color w:val="000000" w:themeColor="text1"/>
          <w:szCs w:val="32"/>
          <w:highlight w:val="none"/>
          <w:lang w:eastAsia="zh-CN"/>
          <w14:textFill>
            <w14:solidFill>
              <w14:schemeClr w14:val="tx1"/>
            </w14:solidFill>
          </w14:textFill>
        </w:rPr>
        <w:t>的质</w:t>
      </w:r>
      <w:r>
        <w:rPr>
          <w:rFonts w:hint="default" w:ascii="Times New Roman" w:hAnsi="Times New Roman" w:cs="Times New Roman"/>
          <w:color w:val="000000" w:themeColor="text1"/>
          <w:szCs w:val="32"/>
          <w:highlight w:val="none"/>
          <w14:textFill>
            <w14:solidFill>
              <w14:schemeClr w14:val="tx1"/>
            </w14:solidFill>
          </w14:textFill>
        </w:rPr>
        <w:t>效</w:t>
      </w:r>
      <w:r>
        <w:rPr>
          <w:rFonts w:hint="eastAsia"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大力发展科技金融、绿色金融、普惠金融、养老金融、数字金融，提高地方金融服务能力。建立金融机构与企业常态化对接机制，引导金融机构开发服务区域发展战略的</w:t>
      </w:r>
      <w:r>
        <w:rPr>
          <w:rFonts w:hint="eastAsia" w:cs="Times New Roman"/>
          <w:color w:val="000000" w:themeColor="text1"/>
          <w:szCs w:val="32"/>
          <w:highlight w:val="none"/>
          <w:lang w:eastAsia="zh-CN"/>
          <w14:textFill>
            <w14:solidFill>
              <w14:schemeClr w14:val="tx1"/>
            </w14:solidFill>
          </w14:textFill>
        </w:rPr>
        <w:t>金融</w:t>
      </w:r>
      <w:r>
        <w:rPr>
          <w:rFonts w:hint="default" w:ascii="Times New Roman" w:hAnsi="Times New Roman" w:cs="Times New Roman"/>
          <w:color w:val="000000" w:themeColor="text1"/>
          <w:szCs w:val="32"/>
          <w:highlight w:val="none"/>
          <w14:textFill>
            <w14:solidFill>
              <w14:schemeClr w14:val="tx1"/>
            </w14:solidFill>
          </w14:textFill>
        </w:rPr>
        <w:t>产品</w:t>
      </w:r>
      <w:r>
        <w:rPr>
          <w:rFonts w:hint="eastAsia"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开展民营和小微企业首贷培植</w:t>
      </w:r>
      <w:r>
        <w:rPr>
          <w:rFonts w:hint="eastAsia" w:cs="Times New Roman"/>
          <w:color w:val="000000" w:themeColor="text1"/>
          <w:szCs w:val="32"/>
          <w:highlight w:val="none"/>
          <w:lang w:eastAsia="zh-CN"/>
          <w14:textFill>
            <w14:solidFill>
              <w14:schemeClr w14:val="tx1"/>
            </w14:solidFill>
          </w14:textFill>
        </w:rPr>
        <w:t>工作，</w:t>
      </w:r>
      <w:r>
        <w:rPr>
          <w:rFonts w:hint="default" w:ascii="Times New Roman" w:hAnsi="Times New Roman" w:cs="Times New Roman"/>
          <w:color w:val="000000" w:themeColor="text1"/>
          <w:szCs w:val="32"/>
          <w:highlight w:val="none"/>
          <w14:textFill>
            <w14:solidFill>
              <w14:schemeClr w14:val="tx1"/>
            </w14:solidFill>
          </w14:textFill>
        </w:rPr>
        <w:t>强化对实体经济、科技创新、小微企业</w:t>
      </w:r>
      <w:r>
        <w:rPr>
          <w:rFonts w:hint="eastAsia" w:cs="Times New Roman"/>
          <w:color w:val="000000" w:themeColor="text1"/>
          <w:szCs w:val="32"/>
          <w:highlight w:val="none"/>
          <w:lang w:eastAsia="zh-CN"/>
          <w14:textFill>
            <w14:solidFill>
              <w14:schemeClr w14:val="tx1"/>
            </w14:solidFill>
          </w14:textFill>
        </w:rPr>
        <w:t>的</w:t>
      </w:r>
      <w:r>
        <w:rPr>
          <w:rFonts w:hint="default" w:ascii="Times New Roman" w:hAnsi="Times New Roman" w:cs="Times New Roman"/>
          <w:color w:val="000000" w:themeColor="text1"/>
          <w:szCs w:val="32"/>
          <w:highlight w:val="none"/>
          <w14:textFill>
            <w14:solidFill>
              <w14:schemeClr w14:val="tx1"/>
            </w14:solidFill>
          </w14:textFill>
        </w:rPr>
        <w:t>金融保障，构建多层次金融支持服务体系。积极发展股权、债券等直接融资，稳步发展期货、衍生品和资产证券化，深入落实企业上市“天骏计划”。扩大直接融资规模，鼓励符合产业政策的新兴产业、</w:t>
      </w:r>
      <w:r>
        <w:rPr>
          <w:rFonts w:hint="eastAsia" w:cs="Times New Roman"/>
          <w:color w:val="000000" w:themeColor="text1"/>
          <w:szCs w:val="32"/>
          <w:highlight w:val="none"/>
          <w:lang w:eastAsia="zh-CN"/>
          <w14:textFill>
            <w14:solidFill>
              <w14:schemeClr w14:val="tx1"/>
            </w14:solidFill>
          </w14:textFill>
        </w:rPr>
        <w:t>高新技术</w:t>
      </w:r>
      <w:r>
        <w:rPr>
          <w:rFonts w:hint="default" w:ascii="Times New Roman" w:hAnsi="Times New Roman" w:cs="Times New Roman"/>
          <w:color w:val="000000" w:themeColor="text1"/>
          <w:szCs w:val="32"/>
          <w:highlight w:val="none"/>
          <w14:textFill>
            <w14:solidFill>
              <w14:schemeClr w14:val="tx1"/>
            </w14:solidFill>
          </w14:textFill>
        </w:rPr>
        <w:t>企业等以股权出资、出质方式进行投融资。优化金融生态环境，鼓励金融机构利用大数据、区块链、人工智能等技术，完善小微企业、科创企业等重点领域信用评估</w:t>
      </w:r>
      <w:r>
        <w:rPr>
          <w:rFonts w:hint="eastAsia" w:cs="Times New Roman"/>
          <w:color w:val="000000" w:themeColor="text1"/>
          <w:szCs w:val="32"/>
          <w:highlight w:val="none"/>
          <w:lang w:eastAsia="zh-CN"/>
          <w14:textFill>
            <w14:solidFill>
              <w14:schemeClr w14:val="tx1"/>
            </w14:solidFill>
          </w14:textFill>
        </w:rPr>
        <w:t>体系</w:t>
      </w:r>
      <w:r>
        <w:rPr>
          <w:rFonts w:hint="default" w:ascii="Times New Roman" w:hAnsi="Times New Roman" w:cs="Times New Roman"/>
          <w:color w:val="000000" w:themeColor="text1"/>
          <w:szCs w:val="32"/>
          <w:highlight w:val="none"/>
          <w14:textFill>
            <w14:solidFill>
              <w14:schemeClr w14:val="tx1"/>
            </w14:solidFill>
          </w14:textFill>
        </w:rPr>
        <w:t>。</w:t>
      </w:r>
    </w:p>
    <w:p w14:paraId="31B8396D">
      <w:pPr>
        <w:spacing w:line="560" w:lineRule="exact"/>
        <w:ind w:firstLine="643"/>
        <w:rPr>
          <w:rFonts w:hint="default" w:ascii="Times New Roman" w:hAnsi="Times New Roman" w:eastAsia="方正楷体_GBK" w:cs="Times New Roman"/>
          <w:b/>
          <w:bCs/>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创新发展科技服务业。</w:t>
      </w:r>
      <w:r>
        <w:rPr>
          <w:rFonts w:hint="default" w:ascii="Times New Roman" w:hAnsi="Times New Roman" w:cs="Times New Roman"/>
          <w:color w:val="000000" w:themeColor="text1"/>
          <w:szCs w:val="32"/>
          <w:highlight w:val="none"/>
          <w14:textFill>
            <w14:solidFill>
              <w14:schemeClr w14:val="tx1"/>
            </w14:solidFill>
          </w14:textFill>
        </w:rPr>
        <w:t>强化“以应用为导向、以产业化为目标”的科技服务体系建设，引导企业向“制造+服务”“产品+服务”转型，发展面向重点产业的技术开发、技术转让、技术咨询、技术服务。特别是围绕包铝新材料研发、装备制造升级等需求，引入应用型研发机构、工业设计中心、专业技术服务提供商，提供覆盖原材料入厂、生产过程控制、成品出厂全流程专业化检测、认证、计量校准等服务，发展面向铝后加工成套设备、智能制造等领域的远程运维、状态监测、预测性维护、技术培训、设备改造升级等全生命周期服务，引导制造业从“卖产品”向“卖产品+卖服务”转变。继续挖掘区内智慧应用场景</w:t>
      </w:r>
      <w:r>
        <w:rPr>
          <w:rFonts w:hint="eastAsia"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引入面向辖区制造、商贸等领域</w:t>
      </w:r>
      <w:r>
        <w:rPr>
          <w:rFonts w:hint="eastAsia" w:cs="Times New Roman"/>
          <w:color w:val="000000" w:themeColor="text1"/>
          <w:szCs w:val="32"/>
          <w:highlight w:val="none"/>
          <w:lang w:eastAsia="zh-CN"/>
          <w14:textFill>
            <w14:solidFill>
              <w14:schemeClr w14:val="tx1"/>
            </w14:solidFill>
          </w14:textFill>
        </w:rPr>
        <w:t>的大</w:t>
      </w:r>
      <w:r>
        <w:rPr>
          <w:rFonts w:hint="default" w:ascii="Times New Roman" w:hAnsi="Times New Roman" w:cs="Times New Roman"/>
          <w:color w:val="000000" w:themeColor="text1"/>
          <w:szCs w:val="32"/>
          <w:highlight w:val="none"/>
          <w14:textFill>
            <w14:solidFill>
              <w14:schemeClr w14:val="tx1"/>
            </w14:solidFill>
          </w14:textFill>
        </w:rPr>
        <w:t>数据服务企业，引进培育法律财税、会展广告等高端商务服务企业，支持人力资源企业发展岗位外包等多元化</w:t>
      </w:r>
      <w:r>
        <w:rPr>
          <w:rFonts w:hint="eastAsia" w:cs="Times New Roman"/>
          <w:color w:val="000000" w:themeColor="text1"/>
          <w:szCs w:val="32"/>
          <w:highlight w:val="none"/>
          <w:lang w:eastAsia="zh-CN"/>
          <w14:textFill>
            <w14:solidFill>
              <w14:schemeClr w14:val="tx1"/>
            </w14:solidFill>
          </w14:textFill>
        </w:rPr>
        <w:t>业务</w:t>
      </w:r>
      <w:r>
        <w:rPr>
          <w:rFonts w:hint="default" w:ascii="Times New Roman" w:hAnsi="Times New Roman" w:cs="Times New Roman"/>
          <w:color w:val="000000" w:themeColor="text1"/>
          <w:szCs w:val="32"/>
          <w:highlight w:val="none"/>
          <w14:textFill>
            <w14:solidFill>
              <w14:schemeClr w14:val="tx1"/>
            </w14:solidFill>
          </w14:textFill>
        </w:rPr>
        <w:t>。</w:t>
      </w:r>
      <w:bookmarkStart w:id="31" w:name="_Toc13101"/>
    </w:p>
    <w:p w14:paraId="037FD4C8">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r>
        <w:rPr>
          <w:rFonts w:hint="default" w:ascii="Times New Roman" w:hAnsi="Times New Roman" w:eastAsia="方正楷体_GBK" w:cs="Times New Roman"/>
          <w:b/>
          <w:bCs/>
          <w:color w:val="000000" w:themeColor="text1"/>
          <w:szCs w:val="32"/>
          <w:highlight w:val="none"/>
          <w14:textFill>
            <w14:solidFill>
              <w14:schemeClr w14:val="tx1"/>
            </w14:solidFill>
          </w14:textFill>
        </w:rPr>
        <w:t>第九节 加快打造烟火生活和文旅休闲体验地</w:t>
      </w:r>
      <w:bookmarkEnd w:id="31"/>
    </w:p>
    <w:p w14:paraId="5A12A963">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充分利用“走西口”商贸走廊节点和全市非公经济发祥地的深厚底蕴，以</w:t>
      </w:r>
      <w:r>
        <w:rPr>
          <w:rFonts w:hint="default" w:ascii="Times New Roman" w:hAnsi="Times New Roman" w:cs="Times New Roman"/>
          <w:color w:val="000000" w:themeColor="text1"/>
          <w:highlight w:val="none"/>
          <w14:textFill>
            <w14:solidFill>
              <w14:schemeClr w14:val="tx1"/>
            </w14:solidFill>
          </w14:textFill>
        </w:rPr>
        <w:t>高品质、多样化、便利化为导向，</w:t>
      </w:r>
      <w:r>
        <w:rPr>
          <w:rFonts w:hint="default" w:ascii="Times New Roman" w:hAnsi="Times New Roman" w:cs="Times New Roman"/>
          <w:color w:val="000000" w:themeColor="text1"/>
          <w:szCs w:val="32"/>
          <w:highlight w:val="none"/>
          <w14:textFill>
            <w14:solidFill>
              <w14:schemeClr w14:val="tx1"/>
            </w14:solidFill>
          </w14:textFill>
        </w:rPr>
        <w:t>加快发展生活性服务业，</w:t>
      </w:r>
      <w:r>
        <w:rPr>
          <w:rFonts w:hint="default" w:ascii="Times New Roman" w:hAnsi="Times New Roman" w:cs="Times New Roman"/>
          <w:color w:val="000000" w:themeColor="text1"/>
          <w:highlight w:val="none"/>
          <w14:textFill>
            <w14:solidFill>
              <w14:schemeClr w14:val="tx1"/>
            </w14:solidFill>
          </w14:textFill>
        </w:rPr>
        <w:t>扩大优质消费品和服务供给，发展壮大商圈商街经济，</w:t>
      </w:r>
      <w:r>
        <w:rPr>
          <w:rFonts w:hint="default" w:ascii="Times New Roman" w:hAnsi="Times New Roman" w:cs="Times New Roman"/>
          <w:color w:val="000000" w:themeColor="text1"/>
          <w:szCs w:val="32"/>
          <w:highlight w:val="none"/>
          <w14:textFill>
            <w14:solidFill>
              <w14:schemeClr w14:val="tx1"/>
            </w14:solidFill>
          </w14:textFill>
        </w:rPr>
        <w:t>打造“烟火东河</w:t>
      </w:r>
      <w:r>
        <w:rPr>
          <w:rFonts w:hint="eastAsia"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百姓生活”消费名片。</w:t>
      </w:r>
    </w:p>
    <w:p w14:paraId="18F925AA">
      <w:pPr>
        <w:spacing w:line="560" w:lineRule="exact"/>
        <w:ind w:firstLine="643" w:firstLineChars="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转型升级传统商贸业</w:t>
      </w:r>
      <w:r>
        <w:rPr>
          <w:rFonts w:hint="default" w:ascii="Times New Roman" w:hAnsi="Times New Roman" w:cs="Times New Roman"/>
          <w:color w:val="000000" w:themeColor="text1"/>
          <w:highlight w:val="none"/>
          <w14:textFill>
            <w14:solidFill>
              <w14:schemeClr w14:val="tx1"/>
            </w14:solidFill>
          </w14:textFill>
        </w:rPr>
        <w:t>。坚持产业转型和消费升级并重、做优存量和做大增量并行，加快推动商贸服务向数字化、品质化和绿色低碳转型升级。加强东河商贸业与京津冀、长三角、大湾区等地商贸服务业线上线下联动，重塑东河商贸服务业优势。全面实施传统商贸业转型升级行动，支持传统商业“抱团取暖”，通过引入老字号品牌展销、非遗文创市集等业态，发展线上线下融合的推广平台，鼓励建设体验分享的消费场景，实现由</w:t>
      </w:r>
      <w:r>
        <w:rPr>
          <w:rFonts w:hint="eastAsia" w:cs="Times New Roman"/>
          <w:color w:val="000000" w:themeColor="text1"/>
          <w:highlight w:val="none"/>
          <w:lang w:eastAsia="zh-CN"/>
          <w14:textFill>
            <w14:solidFill>
              <w14:schemeClr w14:val="tx1"/>
            </w14:solidFill>
          </w14:textFill>
        </w:rPr>
        <w:t>以商品销售</w:t>
      </w:r>
      <w:r>
        <w:rPr>
          <w:rFonts w:hint="default" w:ascii="Times New Roman" w:hAnsi="Times New Roman" w:cs="Times New Roman"/>
          <w:color w:val="000000" w:themeColor="text1"/>
          <w:highlight w:val="none"/>
          <w14:textFill>
            <w14:solidFill>
              <w14:schemeClr w14:val="tx1"/>
            </w14:solidFill>
          </w14:textFill>
        </w:rPr>
        <w:t>为主</w:t>
      </w:r>
      <w:r>
        <w:rPr>
          <w:rFonts w:hint="eastAsia" w:cs="Times New Roman"/>
          <w:color w:val="000000" w:themeColor="text1"/>
          <w:highlight w:val="none"/>
          <w:lang w:eastAsia="zh-CN"/>
          <w14:textFill>
            <w14:solidFill>
              <w14:schemeClr w14:val="tx1"/>
            </w14:solidFill>
          </w14:textFill>
        </w:rPr>
        <w:t>向</w:t>
      </w:r>
      <w:r>
        <w:rPr>
          <w:rFonts w:hint="default" w:ascii="Times New Roman" w:hAnsi="Times New Roman" w:cs="Times New Roman"/>
          <w:color w:val="000000" w:themeColor="text1"/>
          <w:highlight w:val="none"/>
          <w14:textFill>
            <w14:solidFill>
              <w14:schemeClr w14:val="tx1"/>
            </w14:solidFill>
          </w14:textFill>
        </w:rPr>
        <w:t>“商品+服务”并重转型，主动顺应群众对社交化、体验化消费空间的需求，完成80%以上传统商场智慧升级改造。以包头市入选全国零售业创新提升试点城市为契机，加快落实城市一刻钟便民生活圈全域推进先行区试点建设，大力实施商圈能级提升行动，围绕“文化体验、健康休闲、小众创新、首店首发”等发展方向，着力优化“四大商贸集聚区”功能及配套服务设施，持续扩大“七大专业批发市场”影响力，加快形成覆盖内蒙古西部的服装、图书、小商品批发枢纽和绿色粮油食品、新型绿色建材集散中心，</w:t>
      </w:r>
      <w:r>
        <w:rPr>
          <w:rFonts w:hint="eastAsia" w:cs="Times New Roman"/>
          <w:color w:val="000000" w:themeColor="text1"/>
          <w:highlight w:val="none"/>
          <w:lang w:eastAsia="zh-CN"/>
          <w14:textFill>
            <w14:solidFill>
              <w14:schemeClr w14:val="tx1"/>
            </w14:solidFill>
          </w14:textFill>
        </w:rPr>
        <w:t>实行“</w:t>
      </w:r>
      <w:r>
        <w:rPr>
          <w:rFonts w:hint="default" w:ascii="Times New Roman" w:hAnsi="Times New Roman" w:cs="Times New Roman"/>
          <w:color w:val="000000" w:themeColor="text1"/>
          <w:highlight w:val="none"/>
          <w14:textFill>
            <w14:solidFill>
              <w14:schemeClr w14:val="tx1"/>
            </w14:solidFill>
          </w14:textFill>
        </w:rPr>
        <w:t>一圈一策”。深挖“老包头”历史文化商贸底蕴，通过复原传统商贸街区、举办民俗文化活动等方式，提高吸引力。依托包头金街、红街、老包头历史文化街区，完善休闲娱乐、文化体验、智慧服务等功能配套，让历史文化资源转化为文旅发展IP，打造区域文旅及夜间经济集聚区；依托包头南海景区，积极发展旅游集散、特色购物、温泉养生、生态休闲于一体的滨水商业集聚区；依托“包头汽摩文化广场”，集聚发展汽摩改装、文创体验、二手车交易为一体的汽摩产业生态圈，吸引小众精品消费群体集聚，打造西北地区汽摩文化商业集聚区。依托摩尔城、东百等传统商圈，鼓励高品质、特色化发展，实现停车引导、消费优惠、活动推广等功能“一键通”，引入直播电商、线上预订等新模式，提升商圈吸引力与辐射力。“十五五”末，中心城区“维多利摩尔城商圈”、北梁地区“吾悦—金街商圈”、南部地区“包头汽摩文化广场”三大核心商圈核心功能及区域影响力进一步提升，以高质量服务供给激发更多消费活力。探索实施“</w:t>
      </w:r>
      <w:r>
        <w:rPr>
          <w:rFonts w:hint="default" w:ascii="Times New Roman" w:hAnsi="Times New Roman" w:eastAsia="仿宋" w:cs="Times New Roman"/>
          <w:color w:val="000000" w:themeColor="text1"/>
          <w:highlight w:val="none"/>
          <w14:textFill>
            <w14:solidFill>
              <w14:schemeClr w14:val="tx1"/>
            </w14:solidFill>
          </w14:textFill>
        </w:rPr>
        <w:t>復</w:t>
      </w:r>
      <w:r>
        <w:rPr>
          <w:rFonts w:hint="default" w:ascii="Times New Roman" w:hAnsi="Times New Roman" w:cs="Times New Roman"/>
          <w:color w:val="000000" w:themeColor="text1"/>
          <w:highlight w:val="none"/>
          <w14:textFill>
            <w14:solidFill>
              <w14:schemeClr w14:val="tx1"/>
            </w14:solidFill>
          </w14:textFill>
        </w:rPr>
        <w:t>盛东河”区域品牌培育计划，推动更多东河优品走出去。立足餐饮业标准化发展基础，充分挖掘“老包头记忆”“走西口文化”“晋商历史”等文化符号，精准定位目标客群，梳理烧麦、羊杂、茶汤等特色美食，形成“东河美食地图”，打造地域特色品牌，形成东河特色餐饮产业集群。深化餐饮服务人员培训，创新“美食+旅游”融合模式，鼓励打造特色文化主题餐厅，常态化开展“东河美食业态”评选，拓宽美食宣传渠道提升品牌传播力，持续擦亮“吃在东河”品牌。继续实施民宿和星级酒店建设行动，推出“西口人家”“黄河渔宿”等特色住宿产品，发展特色主题酒店，补齐休闲娱乐业态短板，让游客不仅吃在东河还要住在东河、玩在东河、乐在东河。推动发展电子商务，鼓励引导企业发展新型商业模式，创新发展在线消费、体验消费、网红打卡消费、直播等新模式，打造网红直播孵化基地，孵化更多特色农产品</w:t>
      </w:r>
      <w:r>
        <w:rPr>
          <w:rFonts w:hint="eastAsia" w:cs="Times New Roman"/>
          <w:color w:val="000000" w:themeColor="text1"/>
          <w:highlight w:val="none"/>
          <w:lang w:eastAsia="zh-CN"/>
          <w14:textFill>
            <w14:solidFill>
              <w14:schemeClr w14:val="tx1"/>
            </w14:solidFill>
          </w14:textFill>
        </w:rPr>
        <w:t>品牌。</w:t>
      </w:r>
      <w:r>
        <w:rPr>
          <w:rFonts w:hint="default" w:ascii="Times New Roman" w:hAnsi="Times New Roman" w:cs="Times New Roman"/>
          <w:color w:val="000000" w:themeColor="text1"/>
          <w:highlight w:val="none"/>
          <w14:textFill>
            <w14:solidFill>
              <w14:schemeClr w14:val="tx1"/>
            </w14:solidFill>
          </w14:textFill>
        </w:rPr>
        <w:t>同时，全力实施资产盘活利用行动，通过引入汽车交付、特色零售等头部生活性服务企业，以及“骑行休闲”“艺术创新”等优质小众经济，用好全区商业资产，进一步提振街区商业活力；通过引入总部经济、商贸综合体，运营好大金城、住建风景等综合性资源，“十五五”期间，引入20家“小而精”头部生活性服务企业，5家带动性强的总部经济体</w:t>
      </w:r>
      <w:r>
        <w:rPr>
          <w:rFonts w:hint="default" w:ascii="Times New Roman" w:hAnsi="Times New Roman" w:cs="Times New Roman"/>
          <w:color w:val="000000" w:themeColor="text1"/>
          <w:szCs w:val="32"/>
          <w:highlight w:val="none"/>
          <w14:textFill>
            <w14:solidFill>
              <w14:schemeClr w14:val="tx1"/>
            </w14:solidFill>
          </w14:textFill>
        </w:rPr>
        <w:t>。</w:t>
      </w:r>
    </w:p>
    <w:p w14:paraId="2926B769">
      <w:pPr>
        <w:spacing w:line="560" w:lineRule="exact"/>
        <w:ind w:firstLine="64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深入推进文体旅融合。</w:t>
      </w:r>
      <w:r>
        <w:rPr>
          <w:rFonts w:hint="default" w:ascii="Times New Roman" w:hAnsi="Times New Roman" w:cs="Times New Roman"/>
          <w:color w:val="000000" w:themeColor="text1"/>
          <w:highlight w:val="none"/>
          <w14:textFill>
            <w14:solidFill>
              <w14:schemeClr w14:val="tx1"/>
            </w14:solidFill>
          </w14:textFill>
        </w:rPr>
        <w:t>推进南海景区提档升级，制定景区及周边产业发展规划，引入社会资本打造集温泉康养、休闲度假、亲子娱乐、生态体验、教育研学于一体的旅游度假康养综合体；开发湿地生态观光线路，提升湿地知名度和吸引力；打破与周边市、区的区域壁垒，推出套票等组合消费形式，促进游客二次消费；推动文旅与新媒体融合，充分利用短视频传播能力，进一步强化新媒体营销、运营。推动金街、妙法禅寺、财神庙、大水卜洞公园、福巷连片谋划设计整合，串联包头红街、老包头走西口历史文化街区与周边转龙藏公园、龙泉寺、包头召革命历史展馆、福徵寺等旅游资源，形成爱国主义教育基地和红色旅游目的地。培育“沙尔沁沿山沿黄”休闲农旅名片，发展特色渔业、休闲垂钓、滨水娱乐等业态，打造集生态观光、休闲体验于一体的黄河文旅经济带。大力开发“春季赏花、夏季采摘、秋季登山、冬季民俗”四季农旅产品，举办“莲花山登山季”“葡萄采摘体验”等活动，打造沿河农旅休闲体验区和沿山万亩休闲采摘区，开发农事体验、乡村露营等乡村旅游新业态，培育特色民宿，带动周边农户增收。优化区域内交通串联重要游览节点，形成“观山—游湖—看河”的游览路线。挖掘南海景区拉动消费潜能，以市场化思维举办好龙舟赛、皮划艇赛，推动水上赛事、冰雪运动与文旅、商业等深度融合，积极申请建设国家高质量户外运动基地，打造“春季徒步、夏季水上、秋季骑行、冬季冰雪”四季体育旅游线路，将活动“流量”转化为消费“增量”。提升文体旅产品供给质量，全面接纳组团游和定制游。“十五五”期间年均接待游客量达700万人次，2030年旅游总消费突破40亿元。</w:t>
      </w:r>
    </w:p>
    <w:p w14:paraId="4D570A04">
      <w:pPr>
        <w:spacing w:line="560" w:lineRule="exact"/>
        <w:ind w:firstLine="64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加快发展银发经济。</w:t>
      </w:r>
      <w:r>
        <w:rPr>
          <w:rFonts w:hint="default" w:ascii="Times New Roman" w:hAnsi="Times New Roman" w:cs="Times New Roman"/>
          <w:color w:val="000000" w:themeColor="text1"/>
          <w:highlight w:val="none"/>
          <w14:textFill>
            <w14:solidFill>
              <w14:schemeClr w14:val="tx1"/>
            </w14:solidFill>
          </w14:textFill>
        </w:rPr>
        <w:t>引入高端康养机构、配套医疗、休闲设施，提供个性化服务，形成基于大数据的健康管理体系。将疗休养、心理健康、体重管理等服务项目纳入产业发展规划，积极发展职工健康服务产业。盘活蓝泽大金城商业街等资产资源，引入健康产业园、专业康复中心、老年大学及适老化商业服务等多元化养老服务项目，开发候鸟式养老产品。</w:t>
      </w:r>
    </w:p>
    <w:p w14:paraId="1F281140">
      <w:pPr>
        <w:spacing w:line="560" w:lineRule="exact"/>
        <w:ind w:firstLine="0" w:firstLineChars="0"/>
        <w:jc w:val="center"/>
        <w:rPr>
          <w:rFonts w:hint="default" w:ascii="Times New Roman" w:hAnsi="Times New Roman" w:eastAsia="黑体" w:cs="Times New Roman"/>
          <w:color w:val="000000" w:themeColor="text1"/>
          <w:szCs w:val="32"/>
          <w:highlight w:val="none"/>
          <w14:textFill>
            <w14:solidFill>
              <w14:schemeClr w14:val="tx1"/>
            </w14:solidFill>
          </w14:textFill>
        </w:rPr>
      </w:pPr>
    </w:p>
    <w:p w14:paraId="5F2A76E6">
      <w:pPr>
        <w:spacing w:line="560" w:lineRule="exact"/>
        <w:ind w:firstLine="0" w:firstLineChars="0"/>
        <w:jc w:val="center"/>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32" w:name="_Toc21920"/>
      <w:r>
        <w:rPr>
          <w:rFonts w:hint="default" w:ascii="Times New Roman" w:hAnsi="Times New Roman" w:eastAsia="黑体" w:cs="Times New Roman"/>
          <w:color w:val="000000" w:themeColor="text1"/>
          <w:szCs w:val="32"/>
          <w:highlight w:val="none"/>
          <w14:textFill>
            <w14:solidFill>
              <w14:schemeClr w14:val="tx1"/>
            </w14:solidFill>
          </w14:textFill>
        </w:rPr>
        <w:t>第五章 深入实施创新驱动发展战略，努力培育增长新动能</w:t>
      </w:r>
      <w:bookmarkEnd w:id="32"/>
    </w:p>
    <w:p w14:paraId="2150531E">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 xml:space="preserve">坚持以培育和发展新质生产力为导向，深入实施创新驱动发展战略，加快推动发展由要素驱动向创新驱动转变，将科技创新的“关键变量”转化为高质量发展的“最大增量”。 </w:t>
      </w:r>
    </w:p>
    <w:p w14:paraId="21917028">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33" w:name="_Toc32754"/>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第一节 打造高能级科创平台</w:t>
      </w:r>
      <w:bookmarkEnd w:id="33"/>
    </w:p>
    <w:p w14:paraId="6388623B">
      <w:pPr>
        <w:spacing w:line="560" w:lineRule="exact"/>
        <w:ind w:firstLine="64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实施科技创新平台建设行动计划，聚焦铝产业、再生资源、设施农业、中医药等领域，争取国家、自治区在我区布局设立公共研发平台、公共服务平台、新型研发机构，鼓励龙头企业与中华国际科学交流基金会、清华大学、上海交大、中国农业大学、北京林业大学、中南大学、郑研院等高校、科研院所开展合作，引进院士及专家团队，建设开放式创新中心和技术中心等研发机构。推动建立铝产业技术创新中心、中药中试公共服务中心等科创平台，</w:t>
      </w:r>
      <w:r>
        <w:rPr>
          <w:rFonts w:hint="eastAsia" w:cs="Times New Roman"/>
          <w:color w:val="000000" w:themeColor="text1"/>
          <w:szCs w:val="32"/>
          <w:highlight w:val="none"/>
          <w:lang w:eastAsia="zh-CN"/>
          <w14:textFill>
            <w14:solidFill>
              <w14:schemeClr w14:val="tx1"/>
            </w14:solidFill>
          </w14:textFill>
        </w:rPr>
        <w:t>提升</w:t>
      </w:r>
      <w:r>
        <w:rPr>
          <w:rFonts w:hint="default" w:ascii="Times New Roman" w:hAnsi="Times New Roman" w:cs="Times New Roman"/>
          <w:color w:val="000000" w:themeColor="text1"/>
          <w:szCs w:val="32"/>
          <w:highlight w:val="none"/>
          <w14:textFill>
            <w14:solidFill>
              <w14:schemeClr w14:val="tx1"/>
            </w14:solidFill>
          </w14:textFill>
        </w:rPr>
        <w:t>包铝技术创新中心及华资实业院士工作站的创新水平，提供全链条技术服务。密切对接“包头·北京科创基地”，探索设立异地科创平台和孵化基地。设立铝产业知识产权服务中心，建立铝产业标准、质量、检验检测服务机构，申请建设铝产业中国标准创新基地，力争“十五五”末，集聚创新主体超过100家，建设各类科技创新平台100个左右。</w:t>
      </w:r>
    </w:p>
    <w:p w14:paraId="022D5804">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34" w:name="_Toc31022"/>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第二节 培育科技型创新主体</w:t>
      </w:r>
      <w:bookmarkEnd w:id="34"/>
    </w:p>
    <w:p w14:paraId="2096381E">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培育企业创新意识与能力，强化技术创新主体地位，引导</w:t>
      </w:r>
      <w:r>
        <w:rPr>
          <w:rFonts w:hint="default" w:ascii="Times New Roman" w:hAnsi="Times New Roman" w:cs="Times New Roman"/>
          <w:color w:val="000000" w:themeColor="text1"/>
          <w:szCs w:val="32"/>
          <w:highlight w:val="none"/>
          <w14:textFill>
            <w14:solidFill>
              <w14:schemeClr w14:val="tx1"/>
            </w14:solidFill>
          </w14:textFill>
        </w:rPr>
        <w:t>持续加大科研投入，“十五五”期间力争全社会研发经费投入年均增长</w:t>
      </w:r>
      <w:r>
        <w:rPr>
          <w:rFonts w:hint="eastAsia" w:cs="Times New Roman"/>
          <w:color w:val="000000" w:themeColor="text1"/>
          <w:szCs w:val="32"/>
          <w:highlight w:val="none"/>
          <w:lang w:val="en-US" w:eastAsia="zh-CN"/>
          <w14:textFill>
            <w14:solidFill>
              <w14:schemeClr w14:val="tx1"/>
            </w14:solidFill>
          </w14:textFill>
        </w:rPr>
        <w:t>7</w:t>
      </w:r>
      <w:r>
        <w:rPr>
          <w:rFonts w:hint="default" w:ascii="Times New Roman" w:hAnsi="Times New Roman" w:cs="Times New Roman"/>
          <w:color w:val="000000" w:themeColor="text1"/>
          <w:szCs w:val="32"/>
          <w:highlight w:val="none"/>
          <w14:textFill>
            <w14:solidFill>
              <w14:schemeClr w14:val="tx1"/>
            </w14:solidFill>
          </w14:textFill>
        </w:rPr>
        <w:t>%，区级财政科技支出达1000万元以上，技术交易合同额达3亿元以上，成交额年均增长10%以上。实施创新型企业培育行动计划，构建“微成长、小升高、高变强”梯次型、全周期科技型企业培育体系，形成高新技术企业培育库。鼓励本地特色龙头企业与科技型企业、科研院所深度合作，促进其向高新技术企业转型，推动企业在产学研合作中发挥关键作用。组织科技特派员深入企业开展“一对一”精准服务，建立“初创企业—科技型中小企业—高新技术企业—瞪羚企业—科技领军企业”和“创新型中小企业—专精特新中小企业—制造业单项冠军企业”梯次培育体系及分级培育名录，建立健全“创业孵化、创新支撑、融资服务”科技型企业孵化育成体系，形成全要素、全链条、全生命周期科技型企业培育模式，促进高成长性科技型企业持续涌现，力争到2030年高新技术企业达到20家以上，战新企业达到10家，自治区专精特新企业达到20家，国家专精特新企业实现“零”突破。</w:t>
      </w:r>
    </w:p>
    <w:p w14:paraId="3DF3A640">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35" w:name="_Toc23887"/>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第三节 推动</w:t>
      </w:r>
      <w:r>
        <w:rPr>
          <w:rFonts w:hint="eastAsia" w:eastAsia="方正楷体_GBK" w:cs="Times New Roman"/>
          <w:b/>
          <w:bCs/>
          <w:color w:val="000000" w:themeColor="text1"/>
          <w:szCs w:val="32"/>
          <w:highlight w:val="none"/>
          <w:lang w:eastAsia="zh-CN"/>
          <w14:textFill>
            <w14:solidFill>
              <w14:schemeClr w14:val="tx1"/>
            </w14:solidFill>
          </w14:textFill>
        </w:rPr>
        <w:t>关键核心技术攻关</w:t>
      </w:r>
      <w:bookmarkEnd w:id="35"/>
    </w:p>
    <w:p w14:paraId="473DBD71">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围绕主导产业、新兴产业和传统产业技术升级需求，探索采取“揭榜挂帅”“悬赏制”“赛马制”等制度，开展企业</w:t>
      </w:r>
      <w:r>
        <w:rPr>
          <w:rFonts w:hint="eastAsia" w:cs="Times New Roman"/>
          <w:color w:val="000000" w:themeColor="text1"/>
          <w:szCs w:val="32"/>
          <w:highlight w:val="none"/>
          <w:lang w:eastAsia="zh-CN"/>
          <w14:textFill>
            <w14:solidFill>
              <w14:schemeClr w14:val="tx1"/>
            </w14:solidFill>
          </w14:textFill>
        </w:rPr>
        <w:t>关键核心技术攻关</w:t>
      </w:r>
      <w:r>
        <w:rPr>
          <w:rFonts w:hint="default" w:ascii="Times New Roman" w:hAnsi="Times New Roman" w:cs="Times New Roman"/>
          <w:color w:val="000000" w:themeColor="text1"/>
          <w:szCs w:val="32"/>
          <w:highlight w:val="none"/>
          <w14:textFill>
            <w14:solidFill>
              <w14:schemeClr w14:val="tx1"/>
            </w14:solidFill>
          </w14:textFill>
        </w:rPr>
        <w:t>，在铝产业、新能源、新材料、装备制造、再生资源、低空经济等领域滚动实施一批重点科技研发计划项目，争取形成一批具有自主知识产权的科技成果，力争“十五五”期间研发经费投入年均保持在5亿元以上，年均新增专利300个以上。</w:t>
      </w:r>
      <w:r>
        <w:rPr>
          <w:rFonts w:hint="default" w:ascii="Times New Roman" w:hAnsi="Times New Roman" w:cs="Times New Roman"/>
          <w:b/>
          <w:bCs/>
          <w:color w:val="000000" w:themeColor="text1"/>
          <w:szCs w:val="32"/>
          <w:highlight w:val="none"/>
          <w14:textFill>
            <w14:solidFill>
              <w14:schemeClr w14:val="tx1"/>
            </w14:solidFill>
          </w14:textFill>
        </w:rPr>
        <w:t>深入实施“科技突围”工程，</w:t>
      </w:r>
      <w:r>
        <w:rPr>
          <w:rFonts w:hint="default" w:ascii="Times New Roman" w:hAnsi="Times New Roman" w:cs="Times New Roman"/>
          <w:color w:val="000000" w:themeColor="text1"/>
          <w:szCs w:val="32"/>
          <w:highlight w:val="none"/>
          <w14:textFill>
            <w14:solidFill>
              <w14:schemeClr w14:val="tx1"/>
            </w14:solidFill>
          </w14:textFill>
        </w:rPr>
        <w:t>全力支持包铝加大高端产品研发，突破5N级以上高纯铝生产技术和产能瓶颈，实现6N/7N高纯铝、石墨烯-铝合金复合材料、汽车轻量化轮毂、稀土铝合金、镁合金等关键领域重大技术跨越，推动高强高韧铝合金紧固件中试和量产，实现进口替代；支持包铝与中铝科学院、中铝材料院及郑州研究院等机构紧密合作，围绕绿色冶炼、生产智能化等方向开展技术攻关与转化；与上海交通大学、清华大学等高校共建产学研联合体，联合攻关行业“卡脖子”难题；引导包铝争创国家领航级智能工厂。支持四通新材料提升Al-Ti-B晶粒细化剂的细化效率，满足高性能铝合金材料及部件制造需求；支持包头中药挖掘中医药经典名方和蒙医药传统验方，运用现代科技手段进行剂型改良、药效物质基础研究，开发黄芪精、艾草养生保健品等系列产品；支持华资实业从传统农业加工向生物制造转型，依托2万吨/年黄原胶项目和院士工作站落地，进一步深化与科研机构合作，开展更多前沿技术研究和应用开发，打造集研发、测试、中试等功能于一体的综合性研发平台，努力在微生物发酵等关键领域实现重大技术跨越；推动鹿王羊绒研发和应用羊绒快速染色、酸性漂白、低温后整理等技术。</w:t>
      </w:r>
    </w:p>
    <w:p w14:paraId="269969E0">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36" w:name="_Toc22554"/>
      <w:r>
        <w:rPr>
          <w:rFonts w:hint="default" w:ascii="Times New Roman" w:hAnsi="Times New Roman" w:eastAsia="方正楷体_GBK" w:cs="Times New Roman"/>
          <w:b/>
          <w:bCs/>
          <w:color w:val="000000" w:themeColor="text1"/>
          <w:szCs w:val="32"/>
          <w:highlight w:val="none"/>
          <w14:textFill>
            <w14:solidFill>
              <w14:schemeClr w14:val="tx1"/>
            </w14:solidFill>
          </w14:textFill>
        </w:rPr>
        <w:t>第四节 营造高质量创新生态</w:t>
      </w:r>
      <w:bookmarkEnd w:id="36"/>
    </w:p>
    <w:p w14:paraId="667F7756">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常态化开展高价值成果遴选发布和转化交易搭桥行动，探索实施“先使用后付费”“权益让渡”等成果转化模式，完善校企产学研用结合机制，建立科技成果转化、技术产权交易等制度，加强共性技术供给与需求</w:t>
      </w:r>
      <w:r>
        <w:rPr>
          <w:rFonts w:hint="eastAsia" w:cs="Times New Roman"/>
          <w:color w:val="000000" w:themeColor="text1"/>
          <w:szCs w:val="32"/>
          <w:highlight w:val="none"/>
          <w:lang w:eastAsia="zh-CN"/>
          <w14:textFill>
            <w14:solidFill>
              <w14:schemeClr w14:val="tx1"/>
            </w14:solidFill>
          </w14:textFill>
        </w:rPr>
        <w:t>的有效</w:t>
      </w:r>
      <w:r>
        <w:rPr>
          <w:rFonts w:hint="default" w:ascii="Times New Roman" w:hAnsi="Times New Roman" w:cs="Times New Roman"/>
          <w:color w:val="000000" w:themeColor="text1"/>
          <w:szCs w:val="32"/>
          <w:highlight w:val="none"/>
          <w14:textFill>
            <w14:solidFill>
              <w14:schemeClr w14:val="tx1"/>
            </w14:solidFill>
          </w14:textFill>
        </w:rPr>
        <w:t>衔接。对接国家、自治区、市科技成果转化中心，建立集技术转移、科技金融、科技中介等一体的公共服务平台，引进和培育有示范带动作用的成果转移转化服务中介机构，推进技术成果转移转化市场化、规范化发展。用好“科技兴蒙”科技投入、税收激励等</w:t>
      </w:r>
      <w:r>
        <w:rPr>
          <w:rFonts w:hint="eastAsia" w:cs="Times New Roman"/>
          <w:color w:val="000000" w:themeColor="text1"/>
          <w:szCs w:val="32"/>
          <w:highlight w:val="none"/>
          <w:lang w:eastAsia="zh-CN"/>
          <w14:textFill>
            <w14:solidFill>
              <w14:schemeClr w14:val="tx1"/>
            </w14:solidFill>
          </w14:textFill>
        </w:rPr>
        <w:t>政策</w:t>
      </w:r>
      <w:r>
        <w:rPr>
          <w:rFonts w:hint="default" w:ascii="Times New Roman" w:hAnsi="Times New Roman" w:cs="Times New Roman"/>
          <w:color w:val="000000" w:themeColor="text1"/>
          <w:szCs w:val="32"/>
          <w:highlight w:val="none"/>
          <w14:textFill>
            <w14:solidFill>
              <w14:schemeClr w14:val="tx1"/>
            </w14:solidFill>
          </w14:textFill>
        </w:rPr>
        <w:t>，健全完善政策服务体系，落实财政科技投入稳定增长机制，强化科技政策兑现。持续深化创新发展奖评选活动，健全创新型项目筛选机制，确保政策资金精准支持创新主体。实施创新型领军企业家培育工程，培育一批懂科技懂市场的复合型创业人才。用好科技兴蒙合作机制及京蒙协作“科技倍增计划”，加强与京津冀、长三角等地区产业科技创新合作，深化科技成果跟踪对接、引进转化，加大“域内域外”科创飞地建设</w:t>
      </w:r>
      <w:r>
        <w:rPr>
          <w:rFonts w:hint="eastAsia" w:cs="Times New Roman"/>
          <w:color w:val="000000" w:themeColor="text1"/>
          <w:szCs w:val="32"/>
          <w:highlight w:val="none"/>
          <w:lang w:eastAsia="zh-CN"/>
          <w14:textFill>
            <w14:solidFill>
              <w14:schemeClr w14:val="tx1"/>
            </w14:solidFill>
          </w14:textFill>
        </w:rPr>
        <w:t>力度，</w:t>
      </w:r>
      <w:r>
        <w:rPr>
          <w:rFonts w:hint="default" w:ascii="Times New Roman" w:hAnsi="Times New Roman" w:cs="Times New Roman"/>
          <w:color w:val="000000" w:themeColor="text1"/>
          <w:szCs w:val="32"/>
          <w:highlight w:val="none"/>
          <w14:textFill>
            <w14:solidFill>
              <w14:schemeClr w14:val="tx1"/>
            </w14:solidFill>
          </w14:textFill>
        </w:rPr>
        <w:t>孵化落地一批科技型企业。促进科技与金融融合，推出知识产权质押及服务企业全生命周期的天使基金、科技信贷、风险投资等多元化金融工具，培育科技担保、合规科技审计机构等中介服务机构，优化“创新积分制”平台。</w:t>
      </w:r>
    </w:p>
    <w:p w14:paraId="4DF5017E">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p>
    <w:p w14:paraId="43120A97">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37" w:name="_Toc28191"/>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第五节 加快创新型人才引育</w:t>
      </w:r>
      <w:bookmarkEnd w:id="37"/>
      <w:bookmarkStart w:id="38" w:name="_Hlk209953977"/>
    </w:p>
    <w:p w14:paraId="262D0F5C">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以推动产业链、人才链、创新链深度融合为抓手，贯彻“教育科技人才体制机制一体化改革”部署，实现人才工作质效跃升与区域发展同频共振</w:t>
      </w:r>
      <w:bookmarkEnd w:id="38"/>
      <w:r>
        <w:rPr>
          <w:rFonts w:hint="default" w:ascii="Times New Roman" w:hAnsi="Times New Roman" w:cs="Times New Roman"/>
          <w:color w:val="000000" w:themeColor="text1"/>
          <w:szCs w:val="32"/>
          <w:highlight w:val="none"/>
          <w14:textFill>
            <w14:solidFill>
              <w14:schemeClr w14:val="tx1"/>
            </w14:solidFill>
          </w14:textFill>
        </w:rPr>
        <w:t>。聚焦铝产业、再生资源、低空制造、设施农业、工程机械、中草药等重点产业发展需求，绘制人才图谱，靶向引进产业链关键环节的专业人才。依托本地企业与高校、科研机构合作，开展本土人才定向培养和在职培训，支持企业自主培养技能人才，持续加大企业技能人才供给。</w:t>
      </w:r>
      <w:r>
        <w:rPr>
          <w:rFonts w:hint="default" w:ascii="Times New Roman" w:hAnsi="Times New Roman" w:cs="Times New Roman"/>
          <w:b/>
          <w:bCs/>
          <w:color w:val="000000" w:themeColor="text1"/>
          <w:szCs w:val="32"/>
          <w:highlight w:val="none"/>
          <w14:textFill>
            <w14:solidFill>
              <w14:schemeClr w14:val="tx1"/>
            </w14:solidFill>
          </w14:textFill>
        </w:rPr>
        <w:t>健全人才服务保障体系</w:t>
      </w:r>
      <w:r>
        <w:rPr>
          <w:rFonts w:hint="default" w:ascii="Times New Roman" w:hAnsi="Times New Roman" w:cs="Times New Roman"/>
          <w:color w:val="000000" w:themeColor="text1"/>
          <w:szCs w:val="32"/>
          <w:highlight w:val="none"/>
          <w14:textFill>
            <w14:solidFill>
              <w14:schemeClr w14:val="tx1"/>
            </w14:solidFill>
          </w14:textFill>
        </w:rPr>
        <w:t>，推进“科技体检”和“科技特派员”工作。借鉴昆山周末工程师经验，吸引北京、西安、呼市等地</w:t>
      </w:r>
      <w:r>
        <w:rPr>
          <w:rFonts w:hint="eastAsia" w:cs="Times New Roman"/>
          <w:color w:val="000000" w:themeColor="text1"/>
          <w:szCs w:val="32"/>
          <w:highlight w:val="none"/>
          <w:lang w:val="en-US" w:eastAsia="zh-CN"/>
          <w14:textFill>
            <w14:solidFill>
              <w14:schemeClr w14:val="tx1"/>
            </w14:solidFill>
          </w14:textFill>
        </w:rPr>
        <w:t>的</w:t>
      </w:r>
      <w:r>
        <w:rPr>
          <w:rFonts w:hint="default" w:ascii="Times New Roman" w:hAnsi="Times New Roman" w:cs="Times New Roman"/>
          <w:color w:val="000000" w:themeColor="text1"/>
          <w:szCs w:val="32"/>
          <w:highlight w:val="none"/>
          <w14:textFill>
            <w14:solidFill>
              <w14:schemeClr w14:val="tx1"/>
            </w14:solidFill>
          </w14:textFill>
        </w:rPr>
        <w:t>人才兼职，形成重要人才池。坚持“链上引才”，围绕重点产业柔性引进领军人才，精准引进企业所需人才，“十五五”期间，新增技能人才1000人。</w:t>
      </w:r>
      <w:r>
        <w:rPr>
          <w:rFonts w:hint="default" w:ascii="Times New Roman" w:hAnsi="Times New Roman" w:cs="Times New Roman"/>
          <w:b/>
          <w:bCs/>
          <w:color w:val="000000" w:themeColor="text1"/>
          <w:szCs w:val="32"/>
          <w:highlight w:val="none"/>
          <w14:textFill>
            <w14:solidFill>
              <w14:schemeClr w14:val="tx1"/>
            </w14:solidFill>
          </w14:textFill>
        </w:rPr>
        <w:t>构建域外人才平台，</w:t>
      </w:r>
      <w:r>
        <w:rPr>
          <w:rFonts w:hint="default" w:ascii="Times New Roman" w:hAnsi="Times New Roman" w:cs="Times New Roman"/>
          <w:color w:val="000000" w:themeColor="text1"/>
          <w:szCs w:val="32"/>
          <w:highlight w:val="none"/>
          <w14:textFill>
            <w14:solidFill>
              <w14:schemeClr w14:val="tx1"/>
            </w14:solidFill>
          </w14:textFill>
        </w:rPr>
        <w:t>系统联络、组织故乡域外人才，建设“故乡域外人才库”和“双招双引”志愿者</w:t>
      </w:r>
      <w:r>
        <w:rPr>
          <w:rFonts w:hint="eastAsia" w:cs="Times New Roman"/>
          <w:color w:val="000000" w:themeColor="text1"/>
          <w:szCs w:val="32"/>
          <w:highlight w:val="none"/>
          <w:lang w:eastAsia="zh-CN"/>
          <w14:textFill>
            <w14:solidFill>
              <w14:schemeClr w14:val="tx1"/>
            </w14:solidFill>
          </w14:textFill>
        </w:rPr>
        <w:t>队伍。</w:t>
      </w:r>
      <w:r>
        <w:rPr>
          <w:rFonts w:hint="default" w:ascii="Times New Roman" w:hAnsi="Times New Roman" w:cs="Times New Roman"/>
          <w:color w:val="000000" w:themeColor="text1"/>
          <w:szCs w:val="32"/>
          <w:highlight w:val="none"/>
          <w14:textFill>
            <w14:solidFill>
              <w14:schemeClr w14:val="tx1"/>
            </w14:solidFill>
          </w14:textFill>
        </w:rPr>
        <w:t>加强域外人才交流与合作，努力为域外人才创造各种机会，建立域外人才激励与保密机制。</w:t>
      </w:r>
      <w:r>
        <w:rPr>
          <w:rFonts w:hint="default" w:ascii="Times New Roman" w:hAnsi="Times New Roman" w:cs="Times New Roman"/>
          <w:b/>
          <w:bCs/>
          <w:color w:val="000000" w:themeColor="text1"/>
          <w:szCs w:val="32"/>
          <w:highlight w:val="none"/>
          <w14:textFill>
            <w14:solidFill>
              <w14:schemeClr w14:val="tx1"/>
            </w14:solidFill>
          </w14:textFill>
        </w:rPr>
        <w:t>强化人才培育提升，</w:t>
      </w:r>
      <w:r>
        <w:rPr>
          <w:rFonts w:hint="default" w:ascii="Times New Roman" w:hAnsi="Times New Roman" w:cs="Times New Roman"/>
          <w:color w:val="000000" w:themeColor="text1"/>
          <w:szCs w:val="32"/>
          <w:highlight w:val="none"/>
          <w14:textFill>
            <w14:solidFill>
              <w14:schemeClr w14:val="tx1"/>
            </w14:solidFill>
          </w14:textFill>
        </w:rPr>
        <w:t>发挥包头人力资源服务产业园优势，推行“订单式”培养，积极挖掘选树人才领军人物、人才创新先进典型，扎实做好“英才兴蒙”“鹿城英才”培育申报工作，选派“乡村振兴指导员”“科技特派员”等专家服务产业一线，推动产学研融合与成果转化。开展高校与企业互派“科技副总”“产业教授”活动。激发人才活力</w:t>
      </w:r>
      <w:r>
        <w:rPr>
          <w:rFonts w:hint="eastAsia" w:cs="Times New Roman"/>
          <w:color w:val="000000" w:themeColor="text1"/>
          <w:szCs w:val="32"/>
          <w:highlight w:val="none"/>
          <w:lang w:eastAsia="zh-CN"/>
          <w14:textFill>
            <w14:solidFill>
              <w14:schemeClr w14:val="tx1"/>
            </w14:solidFill>
          </w14:textFill>
        </w:rPr>
        <w:t>，优化</w:t>
      </w:r>
      <w:r>
        <w:rPr>
          <w:rFonts w:hint="default" w:ascii="Times New Roman" w:hAnsi="Times New Roman" w:cs="Times New Roman"/>
          <w:color w:val="000000" w:themeColor="text1"/>
          <w:szCs w:val="32"/>
          <w:highlight w:val="none"/>
          <w14:textFill>
            <w14:solidFill>
              <w14:schemeClr w14:val="tx1"/>
            </w14:solidFill>
          </w14:textFill>
        </w:rPr>
        <w:t>留才生态，搭建重点领域名师储备库，建设人才科创产业园，促进人才与科技融合。完善领导干部服务专家机制，落实住房、子女入学等保障政策，加强经费投入，增强人才归属感。“十五五”末全区紧缺急需人才、技能人才扩充至9000人。</w:t>
      </w:r>
    </w:p>
    <w:p w14:paraId="3AF151FE">
      <w:pPr>
        <w:spacing w:line="560" w:lineRule="exact"/>
        <w:ind w:firstLine="640"/>
        <w:rPr>
          <w:rFonts w:hint="default" w:ascii="Times New Roman" w:hAnsi="Times New Roman" w:cs="Times New Roman"/>
          <w:color w:val="000000" w:themeColor="text1"/>
          <w:szCs w:val="32"/>
          <w:highlight w:val="none"/>
          <w14:textFill>
            <w14:solidFill>
              <w14:schemeClr w14:val="tx1"/>
            </w14:solidFill>
          </w14:textFill>
        </w:rPr>
      </w:pPr>
    </w:p>
    <w:p w14:paraId="5347DE18">
      <w:pPr>
        <w:spacing w:line="560" w:lineRule="exact"/>
        <w:ind w:firstLine="0" w:firstLineChars="0"/>
        <w:jc w:val="center"/>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39" w:name="_Toc25873"/>
      <w:r>
        <w:rPr>
          <w:rFonts w:hint="default" w:ascii="Times New Roman" w:hAnsi="Times New Roman" w:eastAsia="黑体" w:cs="Times New Roman"/>
          <w:color w:val="000000" w:themeColor="text1"/>
          <w:szCs w:val="32"/>
          <w:highlight w:val="none"/>
          <w14:textFill>
            <w14:solidFill>
              <w14:schemeClr w14:val="tx1"/>
            </w14:solidFill>
          </w14:textFill>
        </w:rPr>
        <w:t>第六章 全面深化改革开放，</w:t>
      </w:r>
      <w:bookmarkEnd w:id="39"/>
    </w:p>
    <w:p w14:paraId="072016FD">
      <w:pPr>
        <w:spacing w:line="560" w:lineRule="exact"/>
        <w:ind w:firstLine="0" w:firstLineChars="0"/>
        <w:jc w:val="center"/>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40" w:name="_Toc12458"/>
      <w:r>
        <w:rPr>
          <w:rFonts w:hint="default" w:ascii="Times New Roman" w:hAnsi="Times New Roman" w:eastAsia="黑体" w:cs="Times New Roman"/>
          <w:color w:val="000000" w:themeColor="text1"/>
          <w:szCs w:val="32"/>
          <w:highlight w:val="none"/>
          <w14:textFill>
            <w14:solidFill>
              <w14:schemeClr w14:val="tx1"/>
            </w14:solidFill>
          </w14:textFill>
        </w:rPr>
        <w:t>增强市场主体活力和发展内生动力</w:t>
      </w:r>
      <w:bookmarkEnd w:id="40"/>
    </w:p>
    <w:p w14:paraId="3213B873">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以深化经济体制改革为牵引，系统协调推进各领域改革，积极融入全国统一大市场，促进有效市场和有为政府更好结合，全面增强投资吸引力，营商环境进入自治区第一方阵。</w:t>
      </w:r>
    </w:p>
    <w:p w14:paraId="3997DA23">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41" w:name="_Toc27199"/>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第一节 深化重点领域改革</w:t>
      </w:r>
      <w:bookmarkEnd w:id="41"/>
    </w:p>
    <w:p w14:paraId="119839B3">
      <w:pPr>
        <w:spacing w:line="560" w:lineRule="exact"/>
        <w:ind w:firstLine="643"/>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加快转变政府职能</w:t>
      </w:r>
      <w:r>
        <w:rPr>
          <w:rFonts w:hint="default" w:ascii="Times New Roman" w:hAnsi="Times New Roman" w:cs="Times New Roman"/>
          <w:color w:val="000000" w:themeColor="text1"/>
          <w:highlight w:val="none"/>
          <w14:textFill>
            <w14:solidFill>
              <w14:schemeClr w14:val="tx1"/>
            </w14:solidFill>
          </w14:textFill>
        </w:rPr>
        <w:t>，优化政府机构设置和职能配置，全面落实全国统一市场准入负面清单制度，落实政府权责清单制度，建立健全权责清单动态调整和长效管理机制，降低制度性交易成本。</w:t>
      </w:r>
      <w:r>
        <w:rPr>
          <w:rFonts w:hint="default" w:ascii="Times New Roman" w:hAnsi="Times New Roman" w:cs="Times New Roman"/>
          <w:b/>
          <w:bCs/>
          <w:color w:val="000000" w:themeColor="text1"/>
          <w:highlight w:val="none"/>
          <w14:textFill>
            <w14:solidFill>
              <w14:schemeClr w14:val="tx1"/>
            </w14:solidFill>
          </w14:textFill>
        </w:rPr>
        <w:t>推进投融资改革</w:t>
      </w:r>
      <w:r>
        <w:rPr>
          <w:rFonts w:hint="default" w:ascii="Times New Roman" w:hAnsi="Times New Roman" w:cs="Times New Roman"/>
          <w:color w:val="000000" w:themeColor="text1"/>
          <w:highlight w:val="none"/>
          <w14:textFill>
            <w14:solidFill>
              <w14:schemeClr w14:val="tx1"/>
            </w14:solidFill>
          </w14:textFill>
        </w:rPr>
        <w:t>，探索多元化融资路径，推进政府支持资金、政策性银行低息贷款和市场资金有机耦合，推动优质商业地产、公共服务设施证券化运作。</w:t>
      </w:r>
      <w:r>
        <w:rPr>
          <w:rFonts w:hint="default" w:ascii="Times New Roman" w:hAnsi="Times New Roman" w:cs="Times New Roman"/>
          <w:b/>
          <w:bCs/>
          <w:color w:val="000000" w:themeColor="text1"/>
          <w:szCs w:val="32"/>
          <w:highlight w:val="none"/>
          <w14:textFill>
            <w14:solidFill>
              <w14:schemeClr w14:val="tx1"/>
            </w14:solidFill>
          </w14:textFill>
        </w:rPr>
        <w:t>改革创新园区管理体制</w:t>
      </w:r>
      <w:r>
        <w:rPr>
          <w:rFonts w:hint="default" w:ascii="Times New Roman" w:hAnsi="Times New Roman" w:cs="Times New Roman"/>
          <w:color w:val="000000" w:themeColor="text1"/>
          <w:szCs w:val="32"/>
          <w:highlight w:val="none"/>
          <w14:textFill>
            <w14:solidFill>
              <w14:schemeClr w14:val="tx1"/>
            </w14:solidFill>
          </w14:textFill>
        </w:rPr>
        <w:t>，继续完善“管委会+公司”运营模式，提高管理效率和服务质量。</w:t>
      </w:r>
      <w:r>
        <w:rPr>
          <w:rFonts w:hint="default" w:ascii="Times New Roman" w:hAnsi="Times New Roman" w:cs="Times New Roman"/>
          <w:b/>
          <w:bCs/>
          <w:color w:val="000000" w:themeColor="text1"/>
          <w:highlight w:val="none"/>
          <w14:textFill>
            <w14:solidFill>
              <w14:schemeClr w14:val="tx1"/>
            </w14:solidFill>
          </w14:textFill>
        </w:rPr>
        <w:t>推进国有企业改革</w:t>
      </w:r>
      <w:r>
        <w:rPr>
          <w:rFonts w:hint="default" w:ascii="Times New Roman" w:hAnsi="Times New Roman" w:cs="Times New Roman"/>
          <w:color w:val="000000" w:themeColor="text1"/>
          <w:highlight w:val="none"/>
          <w14:textFill>
            <w14:solidFill>
              <w14:schemeClr w14:val="tx1"/>
            </w14:solidFill>
          </w14:textFill>
        </w:rPr>
        <w:t>，持续优化国有企业管理架构和资源配置，健全以业绩为导向的岗位和薪资激励约束机制，支持区属国有企业和包头市、自治区和国家相关企业深度合作。</w:t>
      </w:r>
      <w:r>
        <w:rPr>
          <w:rFonts w:hint="default" w:ascii="Times New Roman" w:hAnsi="Times New Roman" w:cs="Times New Roman"/>
          <w:b/>
          <w:bCs/>
          <w:color w:val="000000" w:themeColor="text1"/>
          <w:highlight w:val="none"/>
          <w14:textFill>
            <w14:solidFill>
              <w14:schemeClr w14:val="tx1"/>
            </w14:solidFill>
          </w14:textFill>
        </w:rPr>
        <w:t>推动预算管理制度改革</w:t>
      </w:r>
      <w:r>
        <w:rPr>
          <w:rFonts w:hint="default" w:ascii="Times New Roman" w:hAnsi="Times New Roman" w:cs="Times New Roman"/>
          <w:color w:val="000000" w:themeColor="text1"/>
          <w:highlight w:val="none"/>
          <w14:textFill>
            <w14:solidFill>
              <w14:schemeClr w14:val="tx1"/>
            </w14:solidFill>
          </w14:textFill>
        </w:rPr>
        <w:t>，积极运用零基预算理念，完善重点支出预算编制程序，形成定事项、定经费与先预算再支出的预算管理体系。</w:t>
      </w:r>
      <w:r>
        <w:rPr>
          <w:rFonts w:hint="default" w:ascii="Times New Roman" w:hAnsi="Times New Roman" w:cs="Times New Roman"/>
          <w:b/>
          <w:bCs/>
          <w:color w:val="000000" w:themeColor="text1"/>
          <w:highlight w:val="none"/>
          <w14:textFill>
            <w14:solidFill>
              <w14:schemeClr w14:val="tx1"/>
            </w14:solidFill>
          </w14:textFill>
        </w:rPr>
        <w:t>深化税收征管数字化转型</w:t>
      </w:r>
      <w:r>
        <w:rPr>
          <w:rFonts w:hint="default" w:ascii="Times New Roman" w:hAnsi="Times New Roman" w:cs="Times New Roman"/>
          <w:color w:val="000000" w:themeColor="text1"/>
          <w:highlight w:val="none"/>
          <w14:textFill>
            <w14:solidFill>
              <w14:schemeClr w14:val="tx1"/>
            </w14:solidFill>
          </w14:textFill>
        </w:rPr>
        <w:t>，对重点行业税源企业精准施策，拓展“非接触式”智能服务。</w:t>
      </w:r>
      <w:r>
        <w:rPr>
          <w:rFonts w:hint="default" w:ascii="Times New Roman" w:hAnsi="Times New Roman" w:cs="Times New Roman"/>
          <w:b/>
          <w:bCs/>
          <w:color w:val="000000" w:themeColor="text1"/>
          <w:highlight w:val="none"/>
          <w14:textFill>
            <w14:solidFill>
              <w14:schemeClr w14:val="tx1"/>
            </w14:solidFill>
          </w14:textFill>
        </w:rPr>
        <w:t>强化基本公共服务数字化改革</w:t>
      </w:r>
      <w:r>
        <w:rPr>
          <w:rFonts w:hint="default" w:ascii="Times New Roman" w:hAnsi="Times New Roman" w:cs="Times New Roman"/>
          <w:color w:val="000000" w:themeColor="text1"/>
          <w:highlight w:val="none"/>
          <w14:textFill>
            <w14:solidFill>
              <w14:schemeClr w14:val="tx1"/>
            </w14:solidFill>
          </w14:textFill>
        </w:rPr>
        <w:t>，推动“大数据+基本公共服务”深度融合，简化基本公共服务的申办和审批流程。</w:t>
      </w:r>
      <w:r>
        <w:rPr>
          <w:rFonts w:hint="default" w:ascii="Times New Roman" w:hAnsi="Times New Roman" w:cs="Times New Roman"/>
          <w:b/>
          <w:bCs/>
          <w:color w:val="000000" w:themeColor="text1"/>
          <w:highlight w:val="none"/>
          <w14:textFill>
            <w14:solidFill>
              <w14:schemeClr w14:val="tx1"/>
            </w14:solidFill>
          </w14:textFill>
        </w:rPr>
        <w:t>强化政府债务管理改革</w:t>
      </w:r>
      <w:r>
        <w:rPr>
          <w:rFonts w:hint="default" w:ascii="Times New Roman" w:hAnsi="Times New Roman" w:cs="Times New Roman"/>
          <w:color w:val="000000" w:themeColor="text1"/>
          <w:highlight w:val="none"/>
          <w14:textFill>
            <w14:solidFill>
              <w14:schemeClr w14:val="tx1"/>
            </w14:solidFill>
          </w14:textFill>
        </w:rPr>
        <w:t>，统筹做好政府债务风险自评和风险预判，规范举债融资行为，多种方式筹措资金，妥善化解存量债务；健全债务管理配套措施，推进债务管理更加规范有序。</w:t>
      </w:r>
    </w:p>
    <w:p w14:paraId="17EA385C">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42" w:name="_Toc8013"/>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第二节 全力优化营商环境</w:t>
      </w:r>
      <w:bookmarkEnd w:id="42"/>
    </w:p>
    <w:p w14:paraId="0F80DAF8">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以</w:t>
      </w:r>
      <w:r>
        <w:rPr>
          <w:rFonts w:hint="eastAsia" w:cs="Times New Roman"/>
          <w:color w:val="000000" w:themeColor="text1"/>
          <w:highlight w:val="none"/>
          <w:lang w:val="en-US" w:eastAsia="zh-CN"/>
          <w14:textFill>
            <w14:solidFill>
              <w14:schemeClr w14:val="tx1"/>
            </w14:solidFill>
          </w14:textFill>
        </w:rPr>
        <w:t>培育</w:t>
      </w:r>
      <w:r>
        <w:rPr>
          <w:rFonts w:hint="default" w:ascii="Times New Roman" w:hAnsi="Times New Roman" w:cs="Times New Roman"/>
          <w:color w:val="000000" w:themeColor="text1"/>
          <w:highlight w:val="none"/>
          <w14:textFill>
            <w14:solidFill>
              <w14:schemeClr w14:val="tx1"/>
            </w14:solidFill>
          </w14:textFill>
        </w:rPr>
        <w:t>营商环境吸引力为根本，以“法治化、信用化、标准化、数字化”为抓手，着力营造稳定、公平、透明、可预期的市场化、法治化营商环境。</w:t>
      </w:r>
      <w:r>
        <w:rPr>
          <w:rFonts w:hint="default" w:ascii="Times New Roman" w:hAnsi="Times New Roman" w:cs="Times New Roman"/>
          <w:b/>
          <w:bCs/>
          <w:color w:val="000000" w:themeColor="text1"/>
          <w:highlight w:val="none"/>
          <w14:textFill>
            <w14:solidFill>
              <w14:schemeClr w14:val="tx1"/>
            </w14:solidFill>
          </w14:textFill>
        </w:rPr>
        <w:t>营造便捷高效政务环境</w:t>
      </w:r>
      <w:r>
        <w:rPr>
          <w:rFonts w:hint="default" w:ascii="Times New Roman" w:hAnsi="Times New Roman" w:cs="Times New Roman"/>
          <w:color w:val="000000" w:themeColor="text1"/>
          <w:highlight w:val="none"/>
          <w14:textFill>
            <w14:solidFill>
              <w14:schemeClr w14:val="tx1"/>
            </w14:solidFill>
          </w14:textFill>
        </w:rPr>
        <w:t>，建立高频服务清单动态管理和定期发布机制，实现同一事项线上线下无差别受理、同标准办理、同质量服务。严格落实“高效办成一件事”事项清单，探索“高效办成一件事”向“高效办成一类事”拓展，推动“一站式”“综窗式”数字化透明办理，持续</w:t>
      </w:r>
      <w:r>
        <w:rPr>
          <w:rFonts w:hint="eastAsia" w:cs="Times New Roman"/>
          <w:color w:val="000000" w:themeColor="text1"/>
          <w:highlight w:val="none"/>
          <w:lang w:val="en-US" w:eastAsia="zh-CN"/>
          <w14:textFill>
            <w14:solidFill>
              <w14:schemeClr w14:val="tx1"/>
            </w14:solidFill>
          </w14:textFill>
        </w:rPr>
        <w:t>扩大</w:t>
      </w:r>
      <w:r>
        <w:rPr>
          <w:rFonts w:hint="default" w:ascii="Times New Roman" w:hAnsi="Times New Roman" w:cs="Times New Roman"/>
          <w:color w:val="000000" w:themeColor="text1"/>
          <w:highlight w:val="none"/>
          <w14:textFill>
            <w14:solidFill>
              <w14:schemeClr w14:val="tx1"/>
            </w14:solidFill>
          </w14:textFill>
        </w:rPr>
        <w:t>“免证办”覆盖面，不断提高电子证照库的覆盖率，制定政务服务一次性解决</w:t>
      </w:r>
      <w:r>
        <w:rPr>
          <w:rFonts w:hint="eastAsia" w:cs="Times New Roman"/>
          <w:color w:val="000000" w:themeColor="text1"/>
          <w:highlight w:val="none"/>
          <w:lang w:val="en-US" w:eastAsia="zh-CN"/>
          <w14:textFill>
            <w14:solidFill>
              <w14:schemeClr w14:val="tx1"/>
            </w14:solidFill>
          </w14:textFill>
        </w:rPr>
        <w:t>的</w:t>
      </w:r>
      <w:r>
        <w:rPr>
          <w:rFonts w:hint="default" w:ascii="Times New Roman" w:hAnsi="Times New Roman" w:cs="Times New Roman"/>
          <w:color w:val="000000" w:themeColor="text1"/>
          <w:highlight w:val="none"/>
          <w14:textFill>
            <w14:solidFill>
              <w14:schemeClr w14:val="tx1"/>
            </w14:solidFill>
          </w14:textFill>
        </w:rPr>
        <w:t>服务规范。持续深化“一网通办”</w:t>
      </w:r>
      <w:r>
        <w:rPr>
          <w:rFonts w:hint="eastAsia" w:cs="Times New Roman"/>
          <w:color w:val="000000" w:themeColor="text1"/>
          <w:highlight w:val="none"/>
          <w:lang w:eastAsia="zh-CN"/>
          <w14:textFill>
            <w14:solidFill>
              <w14:schemeClr w14:val="tx1"/>
            </w14:solidFill>
          </w14:textFill>
        </w:rPr>
        <w:t>改革</w:t>
      </w:r>
      <w:r>
        <w:rPr>
          <w:rFonts w:hint="default" w:ascii="Times New Roman" w:hAnsi="Times New Roman" w:cs="Times New Roman"/>
          <w:color w:val="000000" w:themeColor="text1"/>
          <w:highlight w:val="none"/>
          <w14:textFill>
            <w14:solidFill>
              <w14:schemeClr w14:val="tx1"/>
            </w14:solidFill>
          </w14:textFill>
        </w:rPr>
        <w:t>，以数字技术赋能“集成化服务”升级，推动政务服务从“能办”</w:t>
      </w:r>
      <w:r>
        <w:rPr>
          <w:rFonts w:hint="eastAsia" w:cs="Times New Roman"/>
          <w:color w:val="000000" w:themeColor="text1"/>
          <w:highlight w:val="none"/>
          <w:lang w:eastAsia="zh-CN"/>
          <w14:textFill>
            <w14:solidFill>
              <w14:schemeClr w14:val="tx1"/>
            </w14:solidFill>
          </w14:textFill>
        </w:rPr>
        <w:t>向</w:t>
      </w:r>
      <w:r>
        <w:rPr>
          <w:rFonts w:hint="default" w:ascii="Times New Roman" w:hAnsi="Times New Roman" w:cs="Times New Roman"/>
          <w:color w:val="000000" w:themeColor="text1"/>
          <w:highlight w:val="none"/>
          <w14:textFill>
            <w14:solidFill>
              <w14:schemeClr w14:val="tx1"/>
            </w14:solidFill>
          </w14:textFill>
        </w:rPr>
        <w:t>“好办”“智办”</w:t>
      </w:r>
      <w:r>
        <w:rPr>
          <w:rFonts w:hint="eastAsia" w:cs="Times New Roman"/>
          <w:color w:val="000000" w:themeColor="text1"/>
          <w:highlight w:val="none"/>
          <w:lang w:eastAsia="zh-CN"/>
          <w14:textFill>
            <w14:solidFill>
              <w14:schemeClr w14:val="tx1"/>
            </w14:solidFill>
          </w14:textFill>
        </w:rPr>
        <w:t>转变。</w:t>
      </w:r>
      <w:r>
        <w:rPr>
          <w:rFonts w:hint="default" w:ascii="Times New Roman" w:hAnsi="Times New Roman" w:cs="Times New Roman"/>
          <w:color w:val="000000" w:themeColor="text1"/>
          <w:highlight w:val="none"/>
          <w14:textFill>
            <w14:solidFill>
              <w14:schemeClr w14:val="tx1"/>
            </w14:solidFill>
          </w14:textFill>
        </w:rPr>
        <w:t>进一步优化企业综合服务专区设置，整合业务功能，优化窗口布局。加强镇（街道）便民服务中心和村（社区）村级便民服务站、铝业园区政务服务工作站建设，深化“园区事园区办”改革。继续搭建银企对接平台，解决企业融资难题。持续深化跨域通办改革，满足企业</w:t>
      </w:r>
      <w:r>
        <w:rPr>
          <w:rFonts w:hint="eastAsia" w:cs="Times New Roman"/>
          <w:color w:val="000000" w:themeColor="text1"/>
          <w:highlight w:val="none"/>
          <w:lang w:eastAsia="zh-CN"/>
          <w14:textFill>
            <w14:solidFill>
              <w14:schemeClr w14:val="tx1"/>
            </w14:solidFill>
          </w14:textFill>
        </w:rPr>
        <w:t>和</w:t>
      </w:r>
      <w:r>
        <w:rPr>
          <w:rFonts w:hint="default" w:ascii="Times New Roman" w:hAnsi="Times New Roman" w:cs="Times New Roman"/>
          <w:color w:val="000000" w:themeColor="text1"/>
          <w:highlight w:val="none"/>
          <w14:textFill>
            <w14:solidFill>
              <w14:schemeClr w14:val="tx1"/>
            </w14:solidFill>
          </w14:textFill>
        </w:rPr>
        <w:t>群众跨区域办事需求。</w:t>
      </w:r>
      <w:r>
        <w:rPr>
          <w:rFonts w:hint="eastAsia" w:cs="Times New Roman"/>
          <w:color w:val="000000" w:themeColor="text1"/>
          <w:highlight w:val="none"/>
          <w:lang w:eastAsia="zh-CN"/>
          <w14:textFill>
            <w14:solidFill>
              <w14:schemeClr w14:val="tx1"/>
            </w14:solidFill>
          </w14:textFill>
        </w:rPr>
        <w:t>深化</w:t>
      </w:r>
      <w:r>
        <w:rPr>
          <w:rFonts w:hint="default" w:ascii="Times New Roman" w:hAnsi="Times New Roman" w:cs="Times New Roman"/>
          <w:color w:val="000000" w:themeColor="text1"/>
          <w:highlight w:val="none"/>
          <w14:textFill>
            <w14:solidFill>
              <w14:schemeClr w14:val="tx1"/>
            </w14:solidFill>
          </w14:textFill>
        </w:rPr>
        <w:t>“三在三找”机制，进一步拓展找人才、找技术、找合作等多维度服务。</w:t>
      </w:r>
      <w:r>
        <w:rPr>
          <w:rFonts w:hint="default" w:ascii="Times New Roman" w:hAnsi="Times New Roman" w:cs="Times New Roman"/>
          <w:b/>
          <w:bCs/>
          <w:color w:val="000000" w:themeColor="text1"/>
          <w:highlight w:val="none"/>
          <w14:textFill>
            <w14:solidFill>
              <w14:schemeClr w14:val="tx1"/>
            </w14:solidFill>
          </w14:textFill>
        </w:rPr>
        <w:t>营造有序竞争市场环境</w:t>
      </w:r>
      <w:r>
        <w:rPr>
          <w:rFonts w:hint="default" w:ascii="Times New Roman" w:hAnsi="Times New Roman" w:cs="Times New Roman"/>
          <w:color w:val="000000" w:themeColor="text1"/>
          <w:highlight w:val="none"/>
          <w14:textFill>
            <w14:solidFill>
              <w14:schemeClr w14:val="tx1"/>
            </w14:solidFill>
          </w14:textFill>
        </w:rPr>
        <w:t>。实施守信联合激励和失信联合惩戒，健全信用修复机制。深入推进社会信用体系与大数据融合发展，创新“信易+”惠民便企产品和服务。推动征信平台建设，推动电子保函在公共资源交易领域深度应用，缓解中小企业资金压力。</w:t>
      </w:r>
      <w:r>
        <w:rPr>
          <w:rFonts w:hint="default" w:ascii="Times New Roman" w:hAnsi="Times New Roman" w:cs="Times New Roman"/>
          <w:b/>
          <w:bCs/>
          <w:color w:val="000000" w:themeColor="text1"/>
          <w:highlight w:val="none"/>
          <w14:textFill>
            <w14:solidFill>
              <w14:schemeClr w14:val="tx1"/>
            </w14:solidFill>
          </w14:textFill>
        </w:rPr>
        <w:t>营造公平公正法治环境</w:t>
      </w:r>
      <w:r>
        <w:rPr>
          <w:rFonts w:hint="default" w:ascii="Times New Roman" w:hAnsi="Times New Roman" w:cs="Times New Roman"/>
          <w:color w:val="000000" w:themeColor="text1"/>
          <w:highlight w:val="none"/>
          <w14:textFill>
            <w14:solidFill>
              <w14:schemeClr w14:val="tx1"/>
            </w14:solidFill>
          </w14:textFill>
        </w:rPr>
        <w:t>。推进公共法律服务体系建设，引导和帮助市场主体依法维权。建立行业自律公约和职业道德准则，引导</w:t>
      </w:r>
      <w:r>
        <w:rPr>
          <w:rFonts w:hint="eastAsia" w:cs="Times New Roman"/>
          <w:color w:val="000000" w:themeColor="text1"/>
          <w:highlight w:val="none"/>
          <w:lang w:eastAsia="zh-CN"/>
          <w14:textFill>
            <w14:solidFill>
              <w14:schemeClr w14:val="tx1"/>
            </w14:solidFill>
          </w14:textFill>
        </w:rPr>
        <w:t>企业依法规范</w:t>
      </w:r>
      <w:r>
        <w:rPr>
          <w:rFonts w:hint="default" w:ascii="Times New Roman" w:hAnsi="Times New Roman" w:cs="Times New Roman"/>
          <w:color w:val="000000" w:themeColor="text1"/>
          <w:highlight w:val="none"/>
          <w14:textFill>
            <w14:solidFill>
              <w14:schemeClr w14:val="tx1"/>
            </w14:solidFill>
          </w14:textFill>
        </w:rPr>
        <w:t>竞争。深化“项目警长”警企服务品牌建设，畅通服务企业绿色通道，严厉打击涉企违法犯罪。探索建立“府院联动”机制，强化政府部门与法院沟通协调，妥善处理企业存在的金融问题和风险。构建亲商清廉型政商关系，建立快速响应机制，推动企业意见和建议线上线下即时解决。健全破坏营商环境投诉举报和政务服务“好差评”制度。将</w:t>
      </w:r>
      <w:r>
        <w:rPr>
          <w:rFonts w:hint="eastAsia" w:cs="Times New Roman"/>
          <w:color w:val="000000" w:themeColor="text1"/>
          <w:highlight w:val="none"/>
          <w:lang w:eastAsia="zh-CN"/>
          <w14:textFill>
            <w14:solidFill>
              <w14:schemeClr w14:val="tx1"/>
            </w14:solidFill>
          </w14:textFill>
        </w:rPr>
        <w:t>公平竞争审查</w:t>
      </w:r>
      <w:r>
        <w:rPr>
          <w:rFonts w:hint="default" w:ascii="Times New Roman" w:hAnsi="Times New Roman" w:cs="Times New Roman"/>
          <w:color w:val="000000" w:themeColor="text1"/>
          <w:highlight w:val="none"/>
          <w14:textFill>
            <w14:solidFill>
              <w14:schemeClr w14:val="tx1"/>
            </w14:solidFill>
          </w14:textFill>
        </w:rPr>
        <w:t>纳入法治政府建设、优化营商环境考核评价体系，</w:t>
      </w:r>
      <w:r>
        <w:rPr>
          <w:rFonts w:hint="eastAsia" w:cs="Times New Roman"/>
          <w:color w:val="000000" w:themeColor="text1"/>
          <w:highlight w:val="none"/>
          <w:lang w:eastAsia="zh-CN"/>
          <w14:textFill>
            <w14:solidFill>
              <w14:schemeClr w14:val="tx1"/>
            </w14:solidFill>
          </w14:textFill>
        </w:rPr>
        <w:t>对涉及</w:t>
      </w:r>
      <w:r>
        <w:rPr>
          <w:rFonts w:hint="default" w:ascii="Times New Roman" w:hAnsi="Times New Roman" w:cs="Times New Roman"/>
          <w:color w:val="000000" w:themeColor="text1"/>
          <w:highlight w:val="none"/>
          <w14:textFill>
            <w14:solidFill>
              <w14:schemeClr w14:val="tx1"/>
            </w14:solidFill>
          </w14:textFill>
        </w:rPr>
        <w:t>经营者经济活动的新增政策</w:t>
      </w:r>
      <w:r>
        <w:rPr>
          <w:rFonts w:hint="eastAsia" w:cs="Times New Roman"/>
          <w:color w:val="000000" w:themeColor="text1"/>
          <w:highlight w:val="none"/>
          <w:lang w:eastAsia="zh-CN"/>
          <w14:textFill>
            <w14:solidFill>
              <w14:schemeClr w14:val="tx1"/>
            </w14:solidFill>
          </w14:textFill>
        </w:rPr>
        <w:t>进行100</w:t>
      </w:r>
      <w:r>
        <w:rPr>
          <w:rFonts w:hint="default" w:ascii="Times New Roman" w:hAnsi="Times New Roman" w:cs="Times New Roman"/>
          <w:color w:val="000000" w:themeColor="text1"/>
          <w:highlight w:val="none"/>
          <w14:textFill>
            <w14:solidFill>
              <w14:schemeClr w14:val="tx1"/>
            </w14:solidFill>
          </w14:textFill>
        </w:rPr>
        <w:t>%审查，</w:t>
      </w:r>
      <w:r>
        <w:rPr>
          <w:rFonts w:hint="eastAsia" w:cs="Times New Roman"/>
          <w:color w:val="000000" w:themeColor="text1"/>
          <w:highlight w:val="none"/>
          <w:lang w:eastAsia="zh-CN"/>
          <w14:textFill>
            <w14:solidFill>
              <w14:schemeClr w14:val="tx1"/>
            </w14:solidFill>
          </w14:textFill>
        </w:rPr>
        <w:t>对重大</w:t>
      </w:r>
      <w:r>
        <w:rPr>
          <w:rFonts w:hint="default" w:ascii="Times New Roman" w:hAnsi="Times New Roman" w:cs="Times New Roman"/>
          <w:color w:val="000000" w:themeColor="text1"/>
          <w:highlight w:val="none"/>
          <w14:textFill>
            <w14:solidFill>
              <w14:schemeClr w14:val="tx1"/>
            </w14:solidFill>
          </w14:textFill>
        </w:rPr>
        <w:t>政策</w:t>
      </w:r>
      <w:r>
        <w:rPr>
          <w:rFonts w:hint="eastAsia" w:cs="Times New Roman"/>
          <w:color w:val="000000" w:themeColor="text1"/>
          <w:highlight w:val="none"/>
          <w:lang w:eastAsia="zh-CN"/>
          <w14:textFill>
            <w14:solidFill>
              <w14:schemeClr w14:val="tx1"/>
            </w14:solidFill>
          </w14:textFill>
        </w:rPr>
        <w:t>进行100</w:t>
      </w:r>
      <w:r>
        <w:rPr>
          <w:rFonts w:hint="default" w:ascii="Times New Roman" w:hAnsi="Times New Roman" w:cs="Times New Roman"/>
          <w:color w:val="000000" w:themeColor="text1"/>
          <w:highlight w:val="none"/>
          <w14:textFill>
            <w14:solidFill>
              <w14:schemeClr w14:val="tx1"/>
            </w14:solidFill>
          </w14:textFill>
        </w:rPr>
        <w:t>%会同审查，</w:t>
      </w:r>
      <w:r>
        <w:rPr>
          <w:rFonts w:hint="eastAsia" w:cs="Times New Roman"/>
          <w:color w:val="000000" w:themeColor="text1"/>
          <w:highlight w:val="none"/>
          <w:lang w:eastAsia="zh-CN"/>
          <w14:textFill>
            <w14:solidFill>
              <w14:schemeClr w14:val="tx1"/>
            </w14:solidFill>
          </w14:textFill>
        </w:rPr>
        <w:t>对存量</w:t>
      </w:r>
      <w:r>
        <w:rPr>
          <w:rFonts w:hint="default" w:ascii="Times New Roman" w:hAnsi="Times New Roman" w:cs="Times New Roman"/>
          <w:color w:val="000000" w:themeColor="text1"/>
          <w:highlight w:val="none"/>
          <w14:textFill>
            <w14:solidFill>
              <w14:schemeClr w14:val="tx1"/>
            </w14:solidFill>
          </w14:textFill>
        </w:rPr>
        <w:t>政策</w:t>
      </w:r>
      <w:r>
        <w:rPr>
          <w:rFonts w:hint="eastAsia" w:cs="Times New Roman"/>
          <w:color w:val="000000" w:themeColor="text1"/>
          <w:highlight w:val="none"/>
          <w:lang w:eastAsia="zh-CN"/>
          <w14:textFill>
            <w14:solidFill>
              <w14:schemeClr w14:val="tx1"/>
            </w14:solidFill>
          </w14:textFill>
        </w:rPr>
        <w:t>进行100</w:t>
      </w:r>
      <w:r>
        <w:rPr>
          <w:rFonts w:hint="default" w:ascii="Times New Roman" w:hAnsi="Times New Roman" w:cs="Times New Roman"/>
          <w:color w:val="000000" w:themeColor="text1"/>
          <w:highlight w:val="none"/>
          <w14:textFill>
            <w14:solidFill>
              <w14:schemeClr w14:val="tx1"/>
            </w14:solidFill>
          </w14:textFill>
        </w:rPr>
        <w:t>%筛查，实现公平竞争审查全覆盖。强化反不正当竞争执法。强化产权执法司法保护，加强对查封、扣押、冻结等强制措施的司法监督。</w:t>
      </w:r>
    </w:p>
    <w:p w14:paraId="5D5D22C0">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43" w:name="_Toc30189"/>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第三节 激发民营经济活力</w:t>
      </w:r>
      <w:bookmarkEnd w:id="43"/>
    </w:p>
    <w:p w14:paraId="590B049A">
      <w:pPr>
        <w:spacing w:line="560" w:lineRule="exact"/>
        <w:ind w:firstLine="64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完善支持民营企业发展政策措施</w:t>
      </w:r>
      <w:r>
        <w:rPr>
          <w:rFonts w:hint="default" w:ascii="Times New Roman" w:hAnsi="Times New Roman" w:cs="Times New Roman"/>
          <w:color w:val="000000" w:themeColor="text1"/>
          <w:highlight w:val="none"/>
          <w14:textFill>
            <w14:solidFill>
              <w14:schemeClr w14:val="tx1"/>
            </w14:solidFill>
          </w14:textFill>
        </w:rPr>
        <w:t>，支持民营企业股改挂牌上市，在历史遗留问题处理、产权确认、用地规划变更和出让、上市辅导等方面出台特殊政策措施。搭建政策精准推送平台，整合税务、社保、市监、水电等数据，构建东河区民营企业大数据“画像”平台，自动识别企业潜在需求。</w:t>
      </w:r>
      <w:r>
        <w:rPr>
          <w:rFonts w:hint="default" w:ascii="Times New Roman" w:hAnsi="Times New Roman" w:cs="Times New Roman"/>
          <w:b/>
          <w:bCs/>
          <w:color w:val="000000" w:themeColor="text1"/>
          <w:highlight w:val="none"/>
          <w14:textFill>
            <w14:solidFill>
              <w14:schemeClr w14:val="tx1"/>
            </w14:solidFill>
          </w14:textFill>
        </w:rPr>
        <w:t>畅通与民营企业家沟通联系机制，</w:t>
      </w:r>
      <w:r>
        <w:rPr>
          <w:rFonts w:hint="default" w:ascii="Times New Roman" w:hAnsi="Times New Roman" w:cs="Times New Roman"/>
          <w:color w:val="000000" w:themeColor="text1"/>
          <w:highlight w:val="none"/>
          <w14:textFill>
            <w14:solidFill>
              <w14:schemeClr w14:val="tx1"/>
            </w14:solidFill>
          </w14:textFill>
        </w:rPr>
        <w:t>健全企业家座谈会等制度，对企业家反映的问题建立台账</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限期督办。支持个体工商户新转为小微企业，</w:t>
      </w:r>
      <w:r>
        <w:rPr>
          <w:rFonts w:hint="eastAsia" w:cs="Times New Roman"/>
          <w:color w:val="000000" w:themeColor="text1"/>
          <w:highlight w:val="none"/>
          <w:lang w:eastAsia="zh-CN"/>
          <w14:textFill>
            <w14:solidFill>
              <w14:schemeClr w14:val="tx1"/>
            </w14:solidFill>
          </w14:textFill>
        </w:rPr>
        <w:t>在权证</w:t>
      </w:r>
      <w:r>
        <w:rPr>
          <w:rFonts w:hint="default" w:ascii="Times New Roman" w:hAnsi="Times New Roman" w:cs="Times New Roman"/>
          <w:color w:val="000000" w:themeColor="text1"/>
          <w:highlight w:val="none"/>
          <w14:textFill>
            <w14:solidFill>
              <w14:schemeClr w14:val="tx1"/>
            </w14:solidFill>
          </w14:textFill>
        </w:rPr>
        <w:t>变更、转后跟踪服务等方面给予政策支持。实施重点行业、骨干企业培育行动，完善精准服务企业长效机制，深入开展“一对一”精准帮扶。</w:t>
      </w:r>
      <w:r>
        <w:rPr>
          <w:rFonts w:hint="default" w:ascii="Times New Roman" w:hAnsi="Times New Roman" w:cs="Times New Roman"/>
          <w:b/>
          <w:bCs/>
          <w:color w:val="000000" w:themeColor="text1"/>
          <w:highlight w:val="none"/>
          <w14:textFill>
            <w14:solidFill>
              <w14:schemeClr w14:val="tx1"/>
            </w14:solidFill>
          </w14:textFill>
        </w:rPr>
        <w:t>创新财政资金支持方式，</w:t>
      </w:r>
      <w:r>
        <w:rPr>
          <w:rFonts w:hint="default" w:ascii="Times New Roman" w:hAnsi="Times New Roman" w:cs="Times New Roman"/>
          <w:color w:val="000000" w:themeColor="text1"/>
          <w:highlight w:val="none"/>
          <w14:textFill>
            <w14:solidFill>
              <w14:schemeClr w14:val="tx1"/>
            </w14:solidFill>
          </w14:textFill>
        </w:rPr>
        <w:t>深化金融供给侧结构性改革，鼓励社会资本向本地重点产业领域的民营中小企业倾斜，提升政府性融资担保机构服务能力，支持金融机构解决民营企业融资难题，加强对民营中小微企业直接融资支持。</w:t>
      </w:r>
      <w:r>
        <w:rPr>
          <w:rFonts w:hint="default" w:ascii="Times New Roman" w:hAnsi="Times New Roman" w:cs="Times New Roman"/>
          <w:b/>
          <w:bCs/>
          <w:color w:val="000000" w:themeColor="text1"/>
          <w:highlight w:val="none"/>
          <w14:textFill>
            <w14:solidFill>
              <w14:schemeClr w14:val="tx1"/>
            </w14:solidFill>
          </w14:textFill>
        </w:rPr>
        <w:t>保障公平的市场准入和竞争，</w:t>
      </w:r>
      <w:r>
        <w:rPr>
          <w:rFonts w:hint="default" w:ascii="Times New Roman" w:hAnsi="Times New Roman" w:cs="Times New Roman"/>
          <w:color w:val="000000" w:themeColor="text1"/>
          <w:highlight w:val="none"/>
          <w14:textFill>
            <w14:solidFill>
              <w14:schemeClr w14:val="tx1"/>
            </w14:solidFill>
          </w14:textFill>
        </w:rPr>
        <w:t>坚持和落实“两个毫不动摇”，</w:t>
      </w:r>
      <w:r>
        <w:rPr>
          <w:rFonts w:hint="eastAsia" w:cs="Times New Roman"/>
          <w:color w:val="000000" w:themeColor="text1"/>
          <w:highlight w:val="none"/>
          <w:lang w:eastAsia="zh-CN"/>
          <w14:textFill>
            <w14:solidFill>
              <w14:schemeClr w14:val="tx1"/>
            </w14:solidFill>
          </w14:textFill>
        </w:rPr>
        <w:t>确保</w:t>
      </w:r>
      <w:r>
        <w:rPr>
          <w:rFonts w:hint="default" w:ascii="Times New Roman" w:hAnsi="Times New Roman" w:cs="Times New Roman"/>
          <w:color w:val="000000" w:themeColor="text1"/>
          <w:highlight w:val="none"/>
          <w14:textFill>
            <w14:solidFill>
              <w14:schemeClr w14:val="tx1"/>
            </w14:solidFill>
          </w14:textFill>
        </w:rPr>
        <w:t>各种所有制经济依法平等使用生产要素、公平参与市场竞争、同等受到法律保护。全力推动降低各类门槛，破除制约民营企业发展的各种壁垒，清理规范各项涉企收费，落实“全国一张清单”管理模式</w:t>
      </w:r>
      <w:r>
        <w:rPr>
          <w:rFonts w:hint="eastAsia" w:cs="Times New Roman"/>
          <w:color w:val="000000" w:themeColor="text1"/>
          <w:highlight w:val="none"/>
          <w:lang w:eastAsia="zh-CN"/>
          <w14:textFill>
            <w14:solidFill>
              <w14:schemeClr w14:val="tx1"/>
            </w14:solidFill>
          </w14:textFill>
        </w:rPr>
        <w:t>和</w:t>
      </w:r>
      <w:r>
        <w:rPr>
          <w:rFonts w:hint="default" w:ascii="Times New Roman" w:hAnsi="Times New Roman" w:cs="Times New Roman"/>
          <w:color w:val="000000" w:themeColor="text1"/>
          <w:highlight w:val="none"/>
          <w14:textFill>
            <w14:solidFill>
              <w14:schemeClr w14:val="tx1"/>
            </w14:solidFill>
          </w14:textFill>
        </w:rPr>
        <w:t>“非禁即入”承诺制。推动政府采购向民营企业倾斜，消除“规模歧视”，让更多民营企业</w:t>
      </w:r>
      <w:r>
        <w:rPr>
          <w:rFonts w:hint="eastAsia" w:cs="Times New Roman"/>
          <w:color w:val="000000" w:themeColor="text1"/>
          <w:highlight w:val="none"/>
          <w:lang w:eastAsia="zh-CN"/>
          <w14:textFill>
            <w14:solidFill>
              <w14:schemeClr w14:val="tx1"/>
            </w14:solidFill>
          </w14:textFill>
        </w:rPr>
        <w:t>参与</w:t>
      </w:r>
      <w:r>
        <w:rPr>
          <w:rFonts w:hint="default" w:ascii="Times New Roman" w:hAnsi="Times New Roman" w:cs="Times New Roman"/>
          <w:color w:val="000000" w:themeColor="text1"/>
          <w:highlight w:val="none"/>
          <w14:textFill>
            <w14:solidFill>
              <w14:schemeClr w14:val="tx1"/>
            </w14:solidFill>
          </w14:textFill>
        </w:rPr>
        <w:t>重大项目建设。</w:t>
      </w:r>
    </w:p>
    <w:p w14:paraId="16BC7485">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44" w:name="_Toc32548"/>
      <w:r>
        <w:rPr>
          <w:rFonts w:hint="default" w:ascii="Times New Roman" w:hAnsi="Times New Roman" w:eastAsia="方正楷体_GBK" w:cs="Times New Roman"/>
          <w:b/>
          <w:bCs/>
          <w:color w:val="000000" w:themeColor="text1"/>
          <w:szCs w:val="32"/>
          <w:highlight w:val="none"/>
          <w14:textFill>
            <w14:solidFill>
              <w14:schemeClr w14:val="tx1"/>
            </w14:solidFill>
          </w14:textFill>
        </w:rPr>
        <w:t>第四节 积极扩大有效投资</w:t>
      </w:r>
      <w:bookmarkEnd w:id="44"/>
    </w:p>
    <w:p w14:paraId="56CECD5C">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建立健全重大项目全流程跟踪服务、全要素协同保障、全过程常态推进机制。实施重大项目谋划行动，聚焦本土企业转型升级和上下游配套延伸，</w:t>
      </w:r>
      <w:r>
        <w:rPr>
          <w:rFonts w:hint="default" w:ascii="Times New Roman" w:hAnsi="Times New Roman" w:cs="Times New Roman"/>
          <w:highlight w:val="none"/>
        </w:rPr>
        <w:t>围绕</w:t>
      </w:r>
      <w:r>
        <w:rPr>
          <w:rFonts w:hint="default" w:ascii="Times New Roman" w:hAnsi="Times New Roman" w:cs="Times New Roman"/>
          <w:color w:val="000000" w:themeColor="text1"/>
          <w:highlight w:val="none"/>
          <w14:textFill>
            <w14:solidFill>
              <w14:schemeClr w14:val="tx1"/>
            </w14:solidFill>
          </w14:textFill>
        </w:rPr>
        <w:t>铝精深加工、再生资源利用等优势产业，深入开展产业链招商、一把手招商、场景招商等，</w:t>
      </w:r>
      <w:r>
        <w:rPr>
          <w:rFonts w:hint="default" w:ascii="Times New Roman" w:hAnsi="Times New Roman" w:cs="Times New Roman"/>
          <w:highlight w:val="none"/>
        </w:rPr>
        <w:t>引进一批关联度大、配套性强、附加值高的关键项目</w:t>
      </w:r>
      <w:r>
        <w:rPr>
          <w:rFonts w:hint="default" w:ascii="Times New Roman" w:hAnsi="Times New Roman" w:cs="Times New Roman"/>
          <w:color w:val="000000" w:themeColor="text1"/>
          <w:highlight w:val="none"/>
          <w14:textFill>
            <w14:solidFill>
              <w14:schemeClr w14:val="tx1"/>
            </w14:solidFill>
          </w14:textFill>
        </w:rPr>
        <w:t>。探索基金招商，加大与市正信集团、内蒙古重点产业基金</w:t>
      </w:r>
      <w:r>
        <w:rPr>
          <w:rFonts w:hint="eastAsia" w:cs="Times New Roman"/>
          <w:color w:val="000000" w:themeColor="text1"/>
          <w:highlight w:val="none"/>
          <w:lang w:eastAsia="zh-CN"/>
          <w14:textFill>
            <w14:solidFill>
              <w14:schemeClr w14:val="tx1"/>
            </w14:solidFill>
          </w14:textFill>
        </w:rPr>
        <w:t>的对接力度，</w:t>
      </w:r>
      <w:r>
        <w:rPr>
          <w:rFonts w:hint="default" w:ascii="Times New Roman" w:hAnsi="Times New Roman" w:cs="Times New Roman"/>
          <w:color w:val="000000" w:themeColor="text1"/>
          <w:highlight w:val="none"/>
          <w14:textFill>
            <w14:solidFill>
              <w14:schemeClr w14:val="tx1"/>
            </w14:solidFill>
          </w14:textFill>
        </w:rPr>
        <w:t>助推产业基金与产业发展契合、基金与项目精准合作。健全招商考核办法，强化项目对接、项目签约等核心考核指标，加强调度，形成责任明确、推进有力的工作格局。</w:t>
      </w:r>
    </w:p>
    <w:p w14:paraId="56A9215B">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45" w:name="_Toc12527"/>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第五节 加快消费扩量提质</w:t>
      </w:r>
      <w:bookmarkEnd w:id="45"/>
    </w:p>
    <w:p w14:paraId="31717F38">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大力实施消费振兴计划，提振新能源汽车、绿色智能家电家居等大宗消费，发展衣食住行等实物消费。培育发展体验、首店、冰雪和夜间经济，扩大家政、体育等多元化服务供给，促进文旅休闲、健康养老、家政托幼、教育培训等消费提质扩容，深挖网络、绿色、智能、时尚等新兴消费热点。实施服务消费提质惠民行动，加快城市一刻钟便民生活圈建设。加强农村消费网络建设，推进连锁品牌商店向乡镇延伸，有序发展乡镇商业综合体。完善城乡末端配送节点网络，引导电商下乡布局，畅通优质农产品进城通道。</w:t>
      </w:r>
    </w:p>
    <w:p w14:paraId="6A2A550B">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46" w:name="_Toc5421"/>
      <w:r>
        <w:rPr>
          <w:rFonts w:hint="default" w:ascii="Times New Roman" w:hAnsi="Times New Roman" w:eastAsia="方正楷体_GBK" w:cs="Times New Roman"/>
          <w:b/>
          <w:bCs/>
          <w:color w:val="000000" w:themeColor="text1"/>
          <w:szCs w:val="32"/>
          <w:highlight w:val="none"/>
          <w14:textFill>
            <w14:solidFill>
              <w14:schemeClr w14:val="tx1"/>
            </w14:solidFill>
          </w14:textFill>
        </w:rPr>
        <w:t>第六节 推进高水平对外开放</w:t>
      </w:r>
      <w:bookmarkEnd w:id="46"/>
    </w:p>
    <w:p w14:paraId="750D6EB2">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积极参与国家“一带一路”和中蒙俄经济走廊</w:t>
      </w:r>
      <w:r>
        <w:rPr>
          <w:rFonts w:hint="eastAsia" w:cs="Times New Roman"/>
          <w:color w:val="000000" w:themeColor="text1"/>
          <w:highlight w:val="none"/>
          <w:lang w:eastAsia="zh-CN"/>
          <w14:textFill>
            <w14:solidFill>
              <w14:schemeClr w14:val="tx1"/>
            </w14:solidFill>
          </w14:textFill>
        </w:rPr>
        <w:t>建设，</w:t>
      </w:r>
      <w:r>
        <w:rPr>
          <w:rFonts w:hint="default" w:ascii="Times New Roman" w:hAnsi="Times New Roman" w:cs="Times New Roman"/>
          <w:color w:val="000000" w:themeColor="text1"/>
          <w:highlight w:val="none"/>
          <w14:textFill>
            <w14:solidFill>
              <w14:schemeClr w14:val="tx1"/>
            </w14:solidFill>
          </w14:textFill>
        </w:rPr>
        <w:t>鼓励我区企业到“一带一路”沿线国家开展投资合作，扩大建筑、交通、装备制造等领域合作，逐步布局海外市场；鼓励企业探索“跨境电商+直播”多语种营销模式，打造联通中蒙俄、覆盖“一带一路”的区域跨境电商数字贸易基地。高水平建设跨境数字经济产业园。靶向引进综合型跨境电商，同步培育本土企业开展跨境业务，建设拥有“前店后仓”线上线下一体化展销平台的产业功能区，打造可降低中小卖家融资成本30%以上的供应链金融创新基地，分阶段实现涵盖一、二、三产的进出口跨境贸易选品服务，实现覆盖“一带一路”尤其联通中蒙俄的跨境电商数字贸易，成为直通欧美、辐射全球跨境电商的呼包鄂运营基地，到“十五五”末成为西北运营基地。全力打造工业品出口新增长极，积极推进铝制品、轻工业制品企业开展出口业务，支持扩大中医药（蒙医药）服务、文化和娱乐等新兴服务贸易、专业服务贸易业务，开展服务贸易品牌及市场主体培育、服务贸易境外宣传推广、服务贸易人才培训等研究咨询。依托东河机场航空口岸，积极引进国内外航空货运企业，通过中转、经停等方式，优化至国内主要航空枢纽的航线网络，构建高效便捷的航空货运通道；积极争取开辟全货机跨境物流专线，拓展航空口岸功能。申报设立进境肉类、冰鲜水产品、水果等海关指定监管场地，丰富航空口岸产业布局。</w:t>
      </w:r>
    </w:p>
    <w:p w14:paraId="1F5C8B7E">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47" w:name="_Toc5568"/>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第七节 推进区域协同发展</w:t>
      </w:r>
      <w:bookmarkEnd w:id="47"/>
    </w:p>
    <w:p w14:paraId="3C6018BF">
      <w:pPr>
        <w:spacing w:line="560" w:lineRule="exact"/>
        <w:ind w:firstLine="64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积极参与呼包鄂乌一体化发展，</w:t>
      </w:r>
      <w:r>
        <w:rPr>
          <w:rFonts w:hint="default" w:ascii="Times New Roman" w:hAnsi="Times New Roman" w:cs="Times New Roman"/>
          <w:color w:val="000000" w:themeColor="text1"/>
          <w:highlight w:val="none"/>
          <w14:textFill>
            <w14:solidFill>
              <w14:schemeClr w14:val="tx1"/>
            </w14:solidFill>
          </w14:textFill>
        </w:rPr>
        <w:t>全面落实呼包鄂乌高质量发展若干措施，深度参与呼包同城化发展，倡导建立呼包鄂铝产业联盟，积极参与黄河流域生态修复，密切深化与达拉特旗在文旅、医疗等方面合作。</w:t>
      </w:r>
      <w:r>
        <w:rPr>
          <w:rFonts w:hint="default" w:ascii="Times New Roman" w:hAnsi="Times New Roman" w:cs="Times New Roman"/>
          <w:b/>
          <w:bCs/>
          <w:color w:val="000000" w:themeColor="text1"/>
          <w:highlight w:val="none"/>
          <w14:textFill>
            <w14:solidFill>
              <w14:schemeClr w14:val="tx1"/>
            </w14:solidFill>
          </w14:textFill>
        </w:rPr>
        <w:t>积极参与发达地区大循环，</w:t>
      </w:r>
      <w:r>
        <w:rPr>
          <w:rFonts w:hint="default" w:ascii="Times New Roman" w:hAnsi="Times New Roman" w:cs="Times New Roman"/>
          <w:color w:val="000000" w:themeColor="text1"/>
          <w:highlight w:val="none"/>
          <w14:textFill>
            <w14:solidFill>
              <w14:schemeClr w14:val="tx1"/>
            </w14:solidFill>
          </w14:textFill>
        </w:rPr>
        <w:t>深度融入京津冀协同发展，用好京蒙协作机制，多渠道吸引争取企业在我区设立生产基地、研发中心和营销中心等。密切强化与天津、河北等地合作，畅通农畜产品进京销售渠道，推动与京津冀旅游合作。探索建设“飞地”产业园区，利用发达地区资金、技术、人才等要素加快设立科创飞地，吸引开放型企业总部和分部、研发机构、行业协会、产业联盟入驻。</w:t>
      </w:r>
    </w:p>
    <w:p w14:paraId="36EFB748">
      <w:pPr>
        <w:spacing w:line="560" w:lineRule="exact"/>
        <w:ind w:firstLine="643"/>
        <w:rPr>
          <w:rFonts w:hint="default" w:ascii="Times New Roman" w:hAnsi="Times New Roman" w:cs="Times New Roman"/>
          <w:color w:val="000000" w:themeColor="text1"/>
          <w:highlight w:val="none"/>
          <w14:textFill>
            <w14:solidFill>
              <w14:schemeClr w14:val="tx1"/>
            </w14:solidFill>
          </w14:textFill>
        </w:rPr>
      </w:pPr>
    </w:p>
    <w:p w14:paraId="60788490">
      <w:pPr>
        <w:widowControl/>
        <w:spacing w:line="240" w:lineRule="auto"/>
        <w:ind w:left="0" w:leftChars="0" w:firstLine="0" w:firstLineChars="0"/>
        <w:jc w:val="center"/>
        <w:rPr>
          <w:rFonts w:hint="default" w:ascii="Times New Roman" w:hAnsi="Times New Roman" w:eastAsia="黑体" w:cs="Times New Roman"/>
          <w:color w:val="000000" w:themeColor="text1"/>
          <w:szCs w:val="32"/>
          <w:highlight w:val="none"/>
          <w14:textFill>
            <w14:solidFill>
              <w14:schemeClr w14:val="tx1"/>
            </w14:solidFill>
          </w14:textFill>
        </w:rPr>
      </w:pPr>
      <w:bookmarkStart w:id="48" w:name="_Toc32144"/>
      <w:r>
        <w:rPr>
          <w:rFonts w:hint="default" w:ascii="Times New Roman" w:hAnsi="Times New Roman" w:eastAsia="黑体" w:cs="Times New Roman"/>
          <w:color w:val="000000" w:themeColor="text1"/>
          <w:szCs w:val="32"/>
          <w:highlight w:val="none"/>
          <w14:textFill>
            <w14:solidFill>
              <w14:schemeClr w14:val="tx1"/>
            </w14:solidFill>
          </w14:textFill>
        </w:rPr>
        <w:t>第七章 加强生态文明建设，筑牢生态安全屏障</w:t>
      </w:r>
      <w:bookmarkEnd w:id="48"/>
    </w:p>
    <w:p w14:paraId="4E42CCF7">
      <w:pPr>
        <w:widowControl/>
        <w:spacing w:line="240" w:lineRule="auto"/>
        <w:ind w:left="0" w:leftChars="0" w:firstLine="0" w:firstLineChars="0"/>
        <w:jc w:val="center"/>
        <w:rPr>
          <w:rFonts w:hint="default" w:ascii="Times New Roman" w:hAnsi="Times New Roman" w:eastAsia="黑体" w:cs="Times New Roman"/>
          <w:color w:val="000000" w:themeColor="text1"/>
          <w:szCs w:val="32"/>
          <w:highlight w:val="none"/>
          <w14:textFill>
            <w14:solidFill>
              <w14:schemeClr w14:val="tx1"/>
            </w14:solidFill>
          </w14:textFill>
        </w:rPr>
      </w:pPr>
    </w:p>
    <w:p w14:paraId="489D1116">
      <w:pPr>
        <w:pStyle w:val="79"/>
        <w:spacing w:before="0" w:beforeLines="0" w:after="0" w:afterLines="0" w:line="560" w:lineRule="exact"/>
        <w:outlineLvl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Cs w:val="22"/>
          <w:highlight w:val="none"/>
          <w14:textFill>
            <w14:solidFill>
              <w14:schemeClr w14:val="tx1"/>
            </w14:solidFill>
          </w14:textFill>
        </w:rPr>
        <w:t>牢固树立和践行“绿水青山就是金山银山”理念，统筹山水林田湖草沙一体化保护和系统治理，协同推进降碳减污扩绿增长，全方位、全领域、全过程加强生态文明建设，以高水平保护支撑高质量发展。</w:t>
      </w:r>
    </w:p>
    <w:p w14:paraId="4CA562A4">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49" w:name="_Toc30011"/>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第一节 持续深化污染防治</w:t>
      </w:r>
      <w:bookmarkEnd w:id="49"/>
      <w:bookmarkStart w:id="50" w:name="_Hlk215773312"/>
    </w:p>
    <w:p w14:paraId="7FC60BC2">
      <w:pPr>
        <w:spacing w:line="560" w:lineRule="exact"/>
        <w:ind w:firstLine="640"/>
        <w:rPr>
          <w:rStyle w:val="71"/>
          <w:rFonts w:hint="default" w:ascii="Times New Roman" w:hAnsi="Times New Roman" w:eastAsia="楷体_GB2312" w:cs="Times New Roman"/>
          <w:b/>
          <w:bCs/>
          <w:color w:val="000000" w:themeColor="text1"/>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全面落实精准科学依法治污，注重源头治理，强化减污降碳协同、多污染物控制协同、区域治理协同，深入打好蓝天、碧水、净土保卫战。</w:t>
      </w:r>
      <w:r>
        <w:rPr>
          <w:rFonts w:hint="default" w:ascii="Times New Roman" w:hAnsi="Times New Roman" w:cs="Times New Roman"/>
          <w:b/>
          <w:bCs/>
          <w:color w:val="000000" w:themeColor="text1"/>
          <w:highlight w:val="none"/>
          <w14:textFill>
            <w14:solidFill>
              <w14:schemeClr w14:val="tx1"/>
            </w14:solidFill>
          </w14:textFill>
        </w:rPr>
        <w:t>强化大气污染防治，</w:t>
      </w:r>
      <w:r>
        <w:rPr>
          <w:rFonts w:hint="default" w:ascii="Times New Roman" w:hAnsi="Times New Roman" w:cs="Times New Roman"/>
          <w:color w:val="000000" w:themeColor="text1"/>
          <w:highlight w:val="none"/>
          <w:lang w:bidi="ar"/>
          <w14:textFill>
            <w14:solidFill>
              <w14:schemeClr w14:val="tx1"/>
            </w14:solidFill>
          </w14:textFill>
        </w:rPr>
        <w:t>开展</w:t>
      </w:r>
      <w:r>
        <w:rPr>
          <w:rFonts w:hint="default" w:ascii="Times New Roman" w:hAnsi="Times New Roman" w:cs="Times New Roman"/>
          <w:color w:val="000000" w:themeColor="text1"/>
          <w:highlight w:val="none"/>
          <w14:textFill>
            <w14:solidFill>
              <w14:schemeClr w14:val="tx1"/>
            </w14:solidFill>
          </w14:textFill>
        </w:rPr>
        <w:t>铝业园区涉气企业绩效评级、升级工作，</w:t>
      </w:r>
      <w:r>
        <w:rPr>
          <w:rFonts w:hint="default" w:ascii="Times New Roman" w:hAnsi="Times New Roman" w:cs="Times New Roman"/>
          <w:color w:val="000000" w:themeColor="text1"/>
          <w:highlight w:val="none"/>
          <w:lang w:bidi="ar"/>
          <w14:textFill>
            <w14:solidFill>
              <w14:schemeClr w14:val="tx1"/>
            </w14:solidFill>
          </w14:textFill>
        </w:rPr>
        <w:t>实施工业窑炉清洁能源替代及节能降碳改造、燃气锅炉低碳改造，强化挥发性有机物全过程治理。深入打好柴油货车污染治理攻坚战，提升重点企业清洁运输比例。积极推动“公转铁”运输结构优化与绿色接驳体系建设，加快短途运输车辆新能源替代，完善充换电基础设施网络。开展颗粒物监测、分析和干预，深化扬尘、秸秆垃圾焚烧、散煤等面源治理，提升秸秆综合利用率，加快完善农村区域散煤管控机制，巩固清洁取暖成效。完善重污染天气监测应急体系，更新应急减排项目清单，</w:t>
      </w:r>
      <w:r>
        <w:rPr>
          <w:rFonts w:hint="default" w:ascii="Times New Roman" w:hAnsi="Times New Roman" w:cs="Times New Roman"/>
          <w:color w:val="000000" w:themeColor="text1"/>
          <w:highlight w:val="none"/>
          <w14:textFill>
            <w14:solidFill>
              <w14:schemeClr w14:val="tx1"/>
            </w14:solidFill>
          </w14:textFill>
        </w:rPr>
        <w:t>推动重点企业开展绩效评级，</w:t>
      </w:r>
      <w:r>
        <w:rPr>
          <w:rFonts w:hint="default" w:ascii="Times New Roman" w:hAnsi="Times New Roman" w:cs="Times New Roman"/>
          <w:color w:val="000000" w:themeColor="text1"/>
          <w:highlight w:val="none"/>
          <w:lang w:bidi="ar"/>
          <w14:textFill>
            <w14:solidFill>
              <w14:schemeClr w14:val="tx1"/>
            </w14:solidFill>
          </w14:textFill>
        </w:rPr>
        <w:t>落实差异化减排措施。</w:t>
      </w:r>
      <w:r>
        <w:rPr>
          <w:rFonts w:hint="default" w:ascii="Times New Roman" w:hAnsi="Times New Roman" w:cs="Times New Roman"/>
          <w:b/>
          <w:bCs/>
          <w:color w:val="000000" w:themeColor="text1"/>
          <w:highlight w:val="none"/>
          <w14:textFill>
            <w14:solidFill>
              <w14:schemeClr w14:val="tx1"/>
            </w14:solidFill>
          </w14:textFill>
        </w:rPr>
        <w:t>深入推进水污染防治，</w:t>
      </w:r>
      <w:r>
        <w:rPr>
          <w:rFonts w:hint="default" w:ascii="Times New Roman" w:hAnsi="Times New Roman" w:cs="Times New Roman"/>
          <w:color w:val="000000" w:themeColor="text1"/>
          <w:highlight w:val="none"/>
          <w:lang w:bidi="ar"/>
          <w14:textFill>
            <w14:solidFill>
              <w14:schemeClr w14:val="tx1"/>
            </w14:solidFill>
          </w14:textFill>
        </w:rPr>
        <w:t>统筹水资源保护和水生态治理，常态化开展河湖“清四乱”，巩固入河排污口溯源整治成效，</w:t>
      </w:r>
      <w:r>
        <w:rPr>
          <w:rFonts w:hint="default" w:ascii="Times New Roman" w:hAnsi="Times New Roman" w:cs="Times New Roman"/>
          <w:color w:val="000000" w:themeColor="text1"/>
          <w:highlight w:val="none"/>
          <w14:textFill>
            <w14:solidFill>
              <w14:schemeClr w14:val="tx1"/>
            </w14:solidFill>
          </w14:textFill>
        </w:rPr>
        <w:t>严控新增审批，</w:t>
      </w:r>
      <w:r>
        <w:rPr>
          <w:rFonts w:hint="default" w:ascii="Times New Roman" w:hAnsi="Times New Roman" w:cs="Times New Roman"/>
          <w:color w:val="000000" w:themeColor="text1"/>
          <w:highlight w:val="none"/>
          <w:lang w:bidi="ar"/>
          <w14:textFill>
            <w14:solidFill>
              <w14:schemeClr w14:val="tx1"/>
            </w14:solidFill>
          </w14:textFill>
        </w:rPr>
        <w:t>推进西河、东河沿线排口规范化建设。建立水生态考核机制，严格岸线空间管控；优化水资源配置，沿东门外大街、外环路建设再生水管线，推进湖库联通与生态补水；实施排水防涝和雨污水管网提升更新改造等项目，提升区域水环境质量稳定性。</w:t>
      </w:r>
      <w:r>
        <w:rPr>
          <w:rFonts w:hint="default" w:ascii="Times New Roman" w:hAnsi="Times New Roman" w:cs="Times New Roman"/>
          <w:highlight w:val="none"/>
        </w:rPr>
        <w:t>规范居民二次加压调蓄供水设施管理，强化水质检测，保障供水安全；</w:t>
      </w:r>
      <w:r>
        <w:rPr>
          <w:rFonts w:hint="default" w:ascii="Times New Roman" w:hAnsi="Times New Roman" w:cs="Times New Roman"/>
          <w:color w:val="000000" w:themeColor="text1"/>
          <w:highlight w:val="none"/>
          <w:lang w:bidi="ar"/>
          <w14:textFill>
            <w14:solidFill>
              <w14:schemeClr w14:val="tx1"/>
            </w14:solidFill>
          </w14:textFill>
        </w:rPr>
        <w:t>推进污水处理基础设施提质升级，破解高盐水等问题，</w:t>
      </w:r>
      <w:r>
        <w:rPr>
          <w:rFonts w:hint="default" w:ascii="Times New Roman" w:hAnsi="Times New Roman" w:cs="Times New Roman"/>
          <w:color w:val="000000" w:themeColor="text1"/>
          <w:szCs w:val="32"/>
          <w:highlight w:val="none"/>
          <w:lang w:bidi="ar"/>
          <w14:textFill>
            <w14:solidFill>
              <w14:schemeClr w14:val="tx1"/>
            </w14:solidFill>
          </w14:textFill>
        </w:rPr>
        <w:t>提</w:t>
      </w:r>
      <w:r>
        <w:rPr>
          <w:rFonts w:hint="default" w:ascii="Times New Roman" w:hAnsi="Times New Roman" w:cs="Times New Roman"/>
          <w:color w:val="000000" w:themeColor="text1"/>
          <w:szCs w:val="32"/>
          <w:highlight w:val="none"/>
          <w14:textFill>
            <w14:solidFill>
              <w14:schemeClr w14:val="tx1"/>
            </w14:solidFill>
          </w14:textFill>
        </w:rPr>
        <w:t>高再生水利用率。</w:t>
      </w:r>
      <w:r>
        <w:rPr>
          <w:rFonts w:hint="default" w:ascii="Times New Roman" w:hAnsi="Times New Roman" w:cs="Times New Roman"/>
          <w:color w:val="000000" w:themeColor="text1"/>
          <w:highlight w:val="none"/>
          <w:lang w:bidi="ar"/>
          <w14:textFill>
            <w14:solidFill>
              <w14:schemeClr w14:val="tx1"/>
            </w14:solidFill>
          </w14:textFill>
        </w:rPr>
        <w:t>推动水源地规范化建设与地下水污染防治</w:t>
      </w:r>
      <w:r>
        <w:rPr>
          <w:rFonts w:hint="default" w:ascii="Times New Roman" w:hAnsi="Times New Roman" w:cs="Times New Roman"/>
          <w:color w:val="000000" w:themeColor="text1"/>
          <w:highlight w:val="none"/>
          <w14:textFill>
            <w14:solidFill>
              <w14:schemeClr w14:val="tx1"/>
            </w14:solidFill>
          </w14:textFill>
        </w:rPr>
        <w:t>，完善监测网，强化铝业园区地下水污染防控体系。加强排水、排污许可证管理，提升重点行业企业污水治理水平。推进水土流失和地下水超采综合治理。</w:t>
      </w:r>
      <w:r>
        <w:rPr>
          <w:rFonts w:hint="default" w:ascii="Times New Roman" w:hAnsi="Times New Roman" w:cs="Times New Roman"/>
          <w:b/>
          <w:bCs/>
          <w:color w:val="000000" w:themeColor="text1"/>
          <w:highlight w:val="none"/>
          <w14:textFill>
            <w14:solidFill>
              <w14:schemeClr w14:val="tx1"/>
            </w14:solidFill>
          </w14:textFill>
        </w:rPr>
        <w:t>持续开展固废、土壤污染、新污染物防治</w:t>
      </w:r>
      <w:r>
        <w:rPr>
          <w:rFonts w:hint="default" w:ascii="Times New Roman" w:hAnsi="Times New Roman" w:cs="Times New Roman"/>
          <w:color w:val="000000" w:themeColor="text1"/>
          <w:highlight w:val="none"/>
          <w14:textFill>
            <w14:solidFill>
              <w14:schemeClr w14:val="tx1"/>
            </w14:solidFill>
          </w14:textFill>
        </w:rPr>
        <w:t>，推进“无废城市”建设，</w:t>
      </w:r>
      <w:r>
        <w:rPr>
          <w:rFonts w:hint="default" w:ascii="Times New Roman" w:hAnsi="Times New Roman" w:cs="Times New Roman"/>
          <w:color w:val="000000" w:themeColor="text1"/>
          <w:szCs w:val="32"/>
          <w:highlight w:val="none"/>
          <w14:textFill>
            <w14:solidFill>
              <w14:schemeClr w14:val="tx1"/>
            </w14:solidFill>
          </w14:textFill>
        </w:rPr>
        <w:t>实施固废综合治理，</w:t>
      </w:r>
      <w:r>
        <w:rPr>
          <w:rFonts w:hint="default" w:ascii="Times New Roman" w:hAnsi="Times New Roman" w:cs="Times New Roman"/>
          <w:color w:val="000000" w:themeColor="text1"/>
          <w:highlight w:val="none"/>
          <w14:textFill>
            <w14:solidFill>
              <w14:schemeClr w14:val="tx1"/>
            </w14:solidFill>
          </w14:textFill>
        </w:rPr>
        <w:t>提升大宗工业固废综合利用能力，推动波普等固废综合利用项目落地；推广一般工业固废与废弃矿山生态修复协同治理模式，推动尾矿库分级分类管理和污染隐患排查治理，加大重金属污染防控力度。健全固废联网监管，完善建筑垃圾全流程管控，严厉打击涉固废违法行为；实施生活垃圾分类管理和减量激励机制，推广“互联网+回收”模式，提升资源化利用水平。推进</w:t>
      </w:r>
      <w:r>
        <w:rPr>
          <w:rFonts w:hint="default" w:ascii="Times New Roman" w:hAnsi="Times New Roman" w:cs="Times New Roman"/>
          <w:color w:val="000000" w:themeColor="text1"/>
          <w:highlight w:val="none"/>
          <w:lang w:bidi="ar"/>
          <w14:textFill>
            <w14:solidFill>
              <w14:schemeClr w14:val="tx1"/>
            </w14:solidFill>
          </w14:textFill>
        </w:rPr>
        <w:t>医疗废物集中无害化处置。</w:t>
      </w:r>
      <w:r>
        <w:rPr>
          <w:rFonts w:hint="default" w:ascii="Times New Roman" w:hAnsi="Times New Roman" w:cs="Times New Roman"/>
          <w:color w:val="000000" w:themeColor="text1"/>
          <w:highlight w:val="none"/>
          <w14:textFill>
            <w14:solidFill>
              <w14:schemeClr w14:val="tx1"/>
            </w14:solidFill>
          </w14:textFill>
        </w:rPr>
        <w:t>落实农用地和建设用地分类管理，开展土壤污染状况调查评估，严格管控暂不开发利用污染地块，加强建设用地用途变更和污染地块风险管控的联动监管。</w:t>
      </w:r>
      <w:r>
        <w:rPr>
          <w:rFonts w:hint="default" w:ascii="Times New Roman" w:hAnsi="Times New Roman" w:cs="Times New Roman"/>
          <w:b/>
          <w:bCs/>
          <w:color w:val="000000" w:themeColor="text1"/>
          <w:highlight w:val="none"/>
          <w14:textFill>
            <w14:solidFill>
              <w14:schemeClr w14:val="tx1"/>
            </w14:solidFill>
          </w14:textFill>
        </w:rPr>
        <w:t>加大噪声污染治理</w:t>
      </w:r>
      <w:r>
        <w:rPr>
          <w:rFonts w:hint="default" w:ascii="Times New Roman" w:hAnsi="Times New Roman" w:cs="Times New Roman"/>
          <w:color w:val="000000" w:themeColor="text1"/>
          <w:highlight w:val="none"/>
          <w14:textFill>
            <w14:solidFill>
              <w14:schemeClr w14:val="tx1"/>
            </w14:solidFill>
          </w14:textFill>
        </w:rPr>
        <w:t>，构建“智能监测—精准诊断—快速响应”噪声闭环治理体系，针对工业企业、商业、交通、区域、特殊时期、生活等噪声场景精准施策，优化升级监测网络，依托大数据实现污染溯源，形成源头治理、部门联动和整改反馈高效响应机制，将工业噪声纳入排污许可从严管控，切实筑牢“宁静东河”防护网</w:t>
      </w:r>
      <w:bookmarkEnd w:id="50"/>
      <w:r>
        <w:rPr>
          <w:rFonts w:hint="default" w:ascii="Times New Roman" w:hAnsi="Times New Roman" w:cs="Times New Roman"/>
          <w:color w:val="000000" w:themeColor="text1"/>
          <w:highlight w:val="none"/>
          <w14:textFill>
            <w14:solidFill>
              <w14:schemeClr w14:val="tx1"/>
            </w14:solidFill>
          </w14:textFill>
        </w:rPr>
        <w:t>。</w:t>
      </w:r>
    </w:p>
    <w:p w14:paraId="6BBE1E0A">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51" w:name="_Toc32217"/>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第二节 统筹推进保护修复</w:t>
      </w:r>
      <w:bookmarkEnd w:id="51"/>
    </w:p>
    <w:p w14:paraId="77935C8A">
      <w:pPr>
        <w:spacing w:line="560" w:lineRule="exact"/>
        <w:ind w:firstLine="643"/>
        <w:rPr>
          <w:rStyle w:val="71"/>
          <w:rFonts w:hint="default" w:ascii="Times New Roman" w:hAnsi="Times New Roman" w:eastAsia="方正楷体_GBK" w:cs="Times New Roman"/>
          <w:color w:val="000000" w:themeColor="text1"/>
          <w:szCs w:val="32"/>
          <w:highlight w:val="none"/>
          <w14:textFill>
            <w14:solidFill>
              <w14:schemeClr w14:val="tx1"/>
            </w14:solidFill>
          </w14:textFill>
        </w:rPr>
      </w:pPr>
      <w:bookmarkStart w:id="52" w:name="_Hlk215773336"/>
      <w:r>
        <w:rPr>
          <w:rFonts w:hint="default" w:ascii="Times New Roman" w:hAnsi="Times New Roman" w:cs="Times New Roman"/>
          <w:b/>
          <w:bCs/>
          <w:color w:val="000000" w:themeColor="text1"/>
          <w:szCs w:val="32"/>
          <w:highlight w:val="none"/>
          <w14:textFill>
            <w14:solidFill>
              <w14:schemeClr w14:val="tx1"/>
            </w14:solidFill>
          </w14:textFill>
        </w:rPr>
        <w:t>统筹推进重要生态系统保护和修复工程</w:t>
      </w:r>
      <w:r>
        <w:rPr>
          <w:rFonts w:hint="default" w:ascii="Times New Roman" w:hAnsi="Times New Roman" w:cs="Times New Roman"/>
          <w:color w:val="000000" w:themeColor="text1"/>
          <w:szCs w:val="32"/>
          <w:highlight w:val="none"/>
          <w14:textFill>
            <w14:solidFill>
              <w14:schemeClr w14:val="tx1"/>
            </w14:solidFill>
          </w14:textFill>
        </w:rPr>
        <w:t>，坚持科学规划、分区施策、分类推进，强化跨区域、跨部门协同，整合资金、技术和管理要素，破解生态修复碎片化难题，争取黄河流域等区域山水林田湖草沙一体化保护和修复项目纳入国家支持范围。</w:t>
      </w:r>
      <w:r>
        <w:rPr>
          <w:rFonts w:hint="default" w:ascii="Times New Roman" w:hAnsi="Times New Roman" w:cs="Times New Roman"/>
          <w:b/>
          <w:bCs/>
          <w:color w:val="000000" w:themeColor="text1"/>
          <w:szCs w:val="32"/>
          <w:highlight w:val="none"/>
          <w14:textFill>
            <w14:solidFill>
              <w14:schemeClr w14:val="tx1"/>
            </w14:solidFill>
          </w14:textFill>
        </w:rPr>
        <w:t>开展生态保护修复成效评估</w:t>
      </w:r>
      <w:r>
        <w:rPr>
          <w:rFonts w:hint="default" w:ascii="Times New Roman" w:hAnsi="Times New Roman" w:cs="Times New Roman"/>
          <w:color w:val="000000" w:themeColor="text1"/>
          <w:szCs w:val="32"/>
          <w:highlight w:val="none"/>
          <w14:textFill>
            <w14:solidFill>
              <w14:schemeClr w14:val="tx1"/>
            </w14:solidFill>
          </w14:textFill>
        </w:rPr>
        <w:t>，定期监测评估生态结构完整性、服务功能稳定性、生物多样性等指标，精准提升生态保护修复水平，落实“三北”等重点生态工程生态环境成效评估。</w:t>
      </w:r>
      <w:r>
        <w:rPr>
          <w:rFonts w:hint="default" w:ascii="Times New Roman" w:hAnsi="Times New Roman" w:eastAsia="楷体_GB2312" w:cs="Times New Roman"/>
          <w:b/>
          <w:bCs/>
          <w:color w:val="000000" w:themeColor="text1"/>
          <w:highlight w:val="none"/>
          <w14:textFill>
            <w14:solidFill>
              <w14:schemeClr w14:val="tx1"/>
            </w14:solidFill>
          </w14:textFill>
        </w:rPr>
        <w:t>推动</w:t>
      </w:r>
      <w:r>
        <w:rPr>
          <w:rFonts w:hint="default" w:ascii="Times New Roman" w:hAnsi="Times New Roman" w:cs="Times New Roman"/>
          <w:b/>
          <w:bCs/>
          <w:color w:val="000000" w:themeColor="text1"/>
          <w:highlight w:val="none"/>
          <w14:textFill>
            <w14:solidFill>
              <w14:schemeClr w14:val="tx1"/>
            </w14:solidFill>
          </w14:textFill>
        </w:rPr>
        <w:t>森林草原系统保护</w:t>
      </w:r>
      <w:r>
        <w:rPr>
          <w:rFonts w:hint="default" w:ascii="Times New Roman" w:hAnsi="Times New Roman" w:cs="Times New Roman"/>
          <w:color w:val="000000" w:themeColor="text1"/>
          <w:highlight w:val="none"/>
          <w14:textFill>
            <w14:solidFill>
              <w14:schemeClr w14:val="tx1"/>
            </w14:solidFill>
          </w14:textFill>
        </w:rPr>
        <w:t>，全力打好防沙治沙黄河“几字弯”攻坚战，推进大青山南坡绿化提质增效项目和自然保护地建设，</w:t>
      </w:r>
      <w:r>
        <w:rPr>
          <w:rFonts w:hint="default" w:ascii="Times New Roman" w:hAnsi="Times New Roman" w:cs="Times New Roman"/>
          <w:color w:val="000000" w:themeColor="text1"/>
          <w:szCs w:val="32"/>
          <w:highlight w:val="none"/>
          <w14:textFill>
            <w14:solidFill>
              <w14:schemeClr w14:val="tx1"/>
            </w14:solidFill>
          </w14:textFill>
        </w:rPr>
        <w:t>到2030年森林覆盖率稳定在22.34%以上，草原综合植被盖度稳定在48%以上。健全完善森林保护、培育和经营制度。落实基本草原保护、草畜平衡和禁牧休牧等制度。实施林草固碳增汇行动。</w:t>
      </w:r>
      <w:r>
        <w:rPr>
          <w:rFonts w:hint="default" w:ascii="Times New Roman" w:hAnsi="Times New Roman" w:cs="Times New Roman"/>
          <w:color w:val="000000" w:themeColor="text1"/>
          <w:highlight w:val="none"/>
          <w14:textFill>
            <w14:solidFill>
              <w14:schemeClr w14:val="tx1"/>
            </w14:solidFill>
          </w14:textFill>
        </w:rPr>
        <w:t>探索开发森林经营碳汇项目与生态产品价值实现路径。提升</w:t>
      </w:r>
      <w:r>
        <w:rPr>
          <w:rFonts w:hint="eastAsia" w:cs="Times New Roman"/>
          <w:color w:val="000000" w:themeColor="text1"/>
          <w:highlight w:val="none"/>
          <w:lang w:eastAsia="zh-CN"/>
          <w14:textFill>
            <w14:solidFill>
              <w14:schemeClr w14:val="tx1"/>
            </w14:solidFill>
          </w14:textFill>
        </w:rPr>
        <w:t>森林草原防灭火</w:t>
      </w:r>
      <w:r>
        <w:rPr>
          <w:rFonts w:hint="default" w:ascii="Times New Roman" w:hAnsi="Times New Roman" w:cs="Times New Roman"/>
          <w:color w:val="000000" w:themeColor="text1"/>
          <w:highlight w:val="none"/>
          <w14:textFill>
            <w14:solidFill>
              <w14:schemeClr w14:val="tx1"/>
            </w14:solidFill>
          </w14:textFill>
        </w:rPr>
        <w:t>能力，构建森林火情监测预警体系，将森林、草原火灾受害率分别控制在 0.9‰、2‰以内。推进蒿草治理，打击毁林毁草行为，巩固治理草原超载过牧成果。</w:t>
      </w:r>
      <w:r>
        <w:rPr>
          <w:rFonts w:hint="default" w:ascii="Times New Roman" w:hAnsi="Times New Roman" w:cs="Times New Roman"/>
          <w:b/>
          <w:bCs/>
          <w:color w:val="000000" w:themeColor="text1"/>
          <w:highlight w:val="none"/>
          <w14:textFill>
            <w14:solidFill>
              <w14:schemeClr w14:val="tx1"/>
            </w14:solidFill>
          </w14:textFill>
        </w:rPr>
        <w:t>推进河湖湿地生态保护，</w:t>
      </w:r>
      <w:r>
        <w:rPr>
          <w:rFonts w:hint="default" w:ascii="Times New Roman" w:hAnsi="Times New Roman" w:cs="Times New Roman"/>
          <w:color w:val="000000" w:themeColor="text1"/>
          <w:highlight w:val="none"/>
          <w14:textFill>
            <w14:solidFill>
              <w14:schemeClr w14:val="tx1"/>
            </w14:solidFill>
          </w14:textFill>
        </w:rPr>
        <w:t>推进美丽河湖建设，加强南海子、白银湖等湿地保护修复，积极申报南海子湿地</w:t>
      </w:r>
      <w:r>
        <w:rPr>
          <w:rFonts w:hint="default" w:ascii="Times New Roman" w:hAnsi="Times New Roman" w:cs="Times New Roman"/>
          <w:highlight w:val="none"/>
        </w:rPr>
        <w:t>为国家级重</w:t>
      </w:r>
      <w:r>
        <w:rPr>
          <w:rFonts w:hint="default" w:ascii="Times New Roman" w:hAnsi="Times New Roman" w:cs="Times New Roman"/>
          <w:color w:val="000000" w:themeColor="text1"/>
          <w:highlight w:val="none"/>
          <w14:textFill>
            <w14:solidFill>
              <w14:schemeClr w14:val="tx1"/>
            </w14:solidFill>
          </w14:textFill>
        </w:rPr>
        <w:t>要湿地。实施山河源沟、蓿亥沟、白银湖生态治理工程。建立健全自然保护地生态环境问题台账，严格落实整改销号制度。</w:t>
      </w:r>
      <w:r>
        <w:rPr>
          <w:rFonts w:hint="default" w:ascii="Times New Roman" w:hAnsi="Times New Roman" w:cs="Times New Roman"/>
          <w:b/>
          <w:bCs/>
          <w:color w:val="000000" w:themeColor="text1"/>
          <w:highlight w:val="none"/>
          <w14:textFill>
            <w14:solidFill>
              <w14:schemeClr w14:val="tx1"/>
            </w14:solidFill>
          </w14:textFill>
        </w:rPr>
        <w:t>增强</w:t>
      </w:r>
      <w:r>
        <w:rPr>
          <w:rFonts w:hint="eastAsia" w:cs="Times New Roman"/>
          <w:b/>
          <w:bCs/>
          <w:color w:val="000000" w:themeColor="text1"/>
          <w:highlight w:val="none"/>
          <w:lang w:eastAsia="zh-CN"/>
          <w14:textFill>
            <w14:solidFill>
              <w14:schemeClr w14:val="tx1"/>
            </w14:solidFill>
          </w14:textFill>
        </w:rPr>
        <w:t>矿山生态修复</w:t>
      </w:r>
      <w:r>
        <w:rPr>
          <w:rFonts w:hint="default" w:ascii="Times New Roman" w:hAnsi="Times New Roman" w:cs="Times New Roman"/>
          <w:b/>
          <w:bCs/>
          <w:color w:val="000000" w:themeColor="text1"/>
          <w:highlight w:val="none"/>
          <w14:textFill>
            <w14:solidFill>
              <w14:schemeClr w14:val="tx1"/>
            </w14:solidFill>
          </w14:textFill>
        </w:rPr>
        <w:t>和治理力度</w:t>
      </w:r>
      <w:r>
        <w:rPr>
          <w:rFonts w:hint="default" w:ascii="Times New Roman" w:hAnsi="Times New Roman" w:cs="Times New Roman"/>
          <w:color w:val="000000" w:themeColor="text1"/>
          <w:highlight w:val="none"/>
          <w14:textFill>
            <w14:solidFill>
              <w14:schemeClr w14:val="tx1"/>
            </w14:solidFill>
          </w14:textFill>
        </w:rPr>
        <w:t>，推动历史遗留矿山应治尽治，力争“十五五”治理面积超120公顷。科学编制矿产资源利用规划，引进国有大中型企业整合边角资源，推动煤炭资源开采转型升级。</w:t>
      </w:r>
      <w:r>
        <w:rPr>
          <w:rFonts w:hint="default" w:ascii="Times New Roman" w:hAnsi="Times New Roman" w:cs="Times New Roman"/>
          <w:b/>
          <w:bCs/>
          <w:color w:val="000000" w:themeColor="text1"/>
          <w:highlight w:val="none"/>
          <w:lang w:bidi="zh-CN"/>
          <w14:textFill>
            <w14:solidFill>
              <w14:schemeClr w14:val="tx1"/>
            </w14:solidFill>
          </w14:textFill>
        </w:rPr>
        <w:t>加快补齐农村人居环境短板</w:t>
      </w:r>
      <w:r>
        <w:rPr>
          <w:rFonts w:hint="default" w:ascii="Times New Roman" w:hAnsi="Times New Roman" w:cs="Times New Roman"/>
          <w:color w:val="000000" w:themeColor="text1"/>
          <w:highlight w:val="none"/>
          <w:lang w:bidi="zh-CN"/>
          <w14:textFill>
            <w14:solidFill>
              <w14:schemeClr w14:val="tx1"/>
            </w14:solidFill>
          </w14:textFill>
        </w:rPr>
        <w:t>，推进污水处理、户厕改建和垃圾收运体系建设，分类推进污水管网建设，集中处理生活污水与粪污，</w:t>
      </w:r>
      <w:r>
        <w:rPr>
          <w:rFonts w:hint="default" w:ascii="Times New Roman" w:hAnsi="Times New Roman" w:cs="Times New Roman"/>
          <w:color w:val="000000" w:themeColor="text1"/>
          <w:highlight w:val="none"/>
          <w14:textFill>
            <w14:solidFill>
              <w14:schemeClr w14:val="tx1"/>
            </w14:solidFill>
          </w14:textFill>
        </w:rPr>
        <w:t>消除农村黑臭水体，</w:t>
      </w:r>
      <w:r>
        <w:rPr>
          <w:rFonts w:hint="default" w:ascii="Times New Roman" w:hAnsi="Times New Roman" w:cs="Times New Roman"/>
          <w:color w:val="000000" w:themeColor="text1"/>
          <w:highlight w:val="none"/>
          <w:lang w:bidi="zh-CN"/>
          <w14:textFill>
            <w14:solidFill>
              <w14:schemeClr w14:val="tx1"/>
            </w14:solidFill>
          </w14:textFill>
        </w:rPr>
        <w:t>改造升级垃圾转运收运设施，建立长效管护机制。强化</w:t>
      </w:r>
      <w:r>
        <w:rPr>
          <w:rFonts w:hint="default" w:ascii="Times New Roman" w:hAnsi="Times New Roman" w:cs="Times New Roman"/>
          <w:color w:val="000000" w:themeColor="text1"/>
          <w:highlight w:val="none"/>
          <w14:textFill>
            <w14:solidFill>
              <w14:schemeClr w14:val="tx1"/>
            </w14:solidFill>
          </w14:textFill>
        </w:rPr>
        <w:t>农村</w:t>
      </w:r>
      <w:r>
        <w:rPr>
          <w:rFonts w:hint="default" w:ascii="Times New Roman" w:hAnsi="Times New Roman" w:cs="Times New Roman"/>
          <w:color w:val="000000" w:themeColor="text1"/>
          <w:highlight w:val="none"/>
          <w:lang w:bidi="zh-CN"/>
          <w14:textFill>
            <w14:solidFill>
              <w14:schemeClr w14:val="tx1"/>
            </w14:solidFill>
          </w14:textFill>
        </w:rPr>
        <w:t>饮水安全</w:t>
      </w:r>
      <w:r>
        <w:rPr>
          <w:rFonts w:hint="default" w:ascii="Times New Roman" w:hAnsi="Times New Roman" w:cs="Times New Roman"/>
          <w:color w:val="000000" w:themeColor="text1"/>
          <w:highlight w:val="none"/>
          <w14:textFill>
            <w14:solidFill>
              <w14:schemeClr w14:val="tx1"/>
            </w14:solidFill>
          </w14:textFill>
        </w:rPr>
        <w:t>，推动城边村接入城市自来水管网，实施莎木佳村集中供水改扩建工程并网周边村</w:t>
      </w:r>
      <w:r>
        <w:rPr>
          <w:rFonts w:hint="default" w:ascii="Times New Roman" w:hAnsi="Times New Roman" w:cs="Times New Roman"/>
          <w:color w:val="000000" w:themeColor="text1"/>
          <w:highlight w:val="none"/>
          <w:lang w:bidi="zh-CN"/>
          <w14:textFill>
            <w14:solidFill>
              <w14:schemeClr w14:val="tx1"/>
            </w14:solidFill>
          </w14:textFill>
        </w:rPr>
        <w:t>。</w:t>
      </w:r>
      <w:r>
        <w:rPr>
          <w:rFonts w:hint="default" w:ascii="Times New Roman" w:hAnsi="Times New Roman" w:cs="Times New Roman"/>
          <w:b/>
          <w:bCs/>
          <w:color w:val="000000" w:themeColor="text1"/>
          <w:highlight w:val="none"/>
          <w14:textFill>
            <w14:solidFill>
              <w14:schemeClr w14:val="tx1"/>
            </w14:solidFill>
          </w14:textFill>
        </w:rPr>
        <w:t>践行“公园城市”理念</w:t>
      </w:r>
      <w:r>
        <w:rPr>
          <w:rFonts w:hint="default" w:ascii="Times New Roman" w:hAnsi="Times New Roman" w:cs="Times New Roman"/>
          <w:color w:val="000000" w:themeColor="text1"/>
          <w:highlight w:val="none"/>
          <w14:textFill>
            <w14:solidFill>
              <w14:schemeClr w14:val="tx1"/>
            </w14:solidFill>
          </w14:textFill>
        </w:rPr>
        <w:t>，优化绿色空间布局，统筹生态、通风、城市绿道、景观廊道及基础设施建设，</w:t>
      </w:r>
      <w:r>
        <w:rPr>
          <w:rFonts w:hint="default" w:ascii="Times New Roman" w:hAnsi="Times New Roman" w:cs="Times New Roman"/>
          <w:highlight w:val="none"/>
        </w:rPr>
        <w:t>完善城市生物多样性保护网络。开展全龄友好型公园提升改造，盘活城市边角空间，</w:t>
      </w:r>
      <w:r>
        <w:rPr>
          <w:rFonts w:hint="default" w:ascii="Times New Roman" w:hAnsi="Times New Roman" w:cs="Times New Roman"/>
          <w:color w:val="000000" w:themeColor="text1"/>
          <w:highlight w:val="none"/>
          <w14:textFill>
            <w14:solidFill>
              <w14:schemeClr w14:val="tx1"/>
            </w14:solidFill>
          </w14:textFill>
        </w:rPr>
        <w:t>加密口袋公园与绿道，提升主干道绿化，推广立体绿化，构建“乔灌草”多层次绿化体系</w:t>
      </w:r>
      <w:bookmarkEnd w:id="52"/>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highlight w:val="none"/>
        </w:rPr>
        <w:t>推广节约低碳型绿化，创新“精野结合、分级分类”养护方式，提高乡土植物应用水平。</w:t>
      </w:r>
    </w:p>
    <w:p w14:paraId="6B522486">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53" w:name="_Toc24141"/>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第三节 推动资源高效利用</w:t>
      </w:r>
      <w:bookmarkEnd w:id="53"/>
    </w:p>
    <w:p w14:paraId="49501567">
      <w:pPr>
        <w:spacing w:line="560" w:lineRule="exact"/>
        <w:ind w:firstLine="640"/>
        <w:rPr>
          <w:rStyle w:val="71"/>
          <w:rFonts w:hint="default" w:ascii="Times New Roman" w:hAnsi="Times New Roman" w:eastAsia="方正楷体_GBK"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落实国家能源和水资源消耗、建设用地总量和强度双控行动，优化资源配置，提升利用效益。强化能源消耗管理，推进风光、生物质等可再生能源项目建设，建立数字化管理体系和能耗预警机制，整改低效浪费环节。</w:t>
      </w:r>
      <w:r>
        <w:rPr>
          <w:rFonts w:hint="default" w:ascii="Times New Roman" w:hAnsi="Times New Roman" w:cs="Times New Roman"/>
          <w:b/>
          <w:bCs/>
          <w:color w:val="000000" w:themeColor="text1"/>
          <w:highlight w:val="none"/>
          <w14:textFill>
            <w14:solidFill>
              <w14:schemeClr w14:val="tx1"/>
            </w14:solidFill>
          </w14:textFill>
        </w:rPr>
        <w:t>实施严格的水资源管理制度</w:t>
      </w:r>
      <w:r>
        <w:rPr>
          <w:rFonts w:hint="default" w:ascii="Times New Roman" w:hAnsi="Times New Roman" w:cs="Times New Roman"/>
          <w:color w:val="000000" w:themeColor="text1"/>
          <w:highlight w:val="none"/>
          <w14:textFill>
            <w14:solidFill>
              <w14:schemeClr w14:val="tx1"/>
            </w14:solidFill>
          </w14:textFill>
        </w:rPr>
        <w:t>，开展“节水行动”，落实水资源刚性约束和“四水四定”原则，用水总量、万元国内生产总值用水量、万元工业增加值用水量继续控制在国家下达管控指标以内，严控地下水开采。健全双控机制，规范取水、用水审批流程；加快再生水配套管网建设，回用率不低于30%。发展旱作与节水农业，推广耐旱优质作物与节水林草品种，有序扩大高效节水灌溉面积；优化城乡工农生态用水配置，推动工业节水改造与节水标杆企业创建，实施供水管网智能化改造控漏损。严格项目用水审批，工业项目优先配置再生水等非常规水源；加强用水考核，严格落实超定额超计划用水累进加价制度，落实推进水权改革，开展水权交易。</w:t>
      </w:r>
      <w:r>
        <w:rPr>
          <w:rFonts w:hint="default" w:ascii="Times New Roman" w:hAnsi="Times New Roman" w:cs="Times New Roman"/>
          <w:b/>
          <w:bCs/>
          <w:color w:val="000000" w:themeColor="text1"/>
          <w:highlight w:val="none"/>
          <w14:textFill>
            <w14:solidFill>
              <w14:schemeClr w14:val="tx1"/>
            </w14:solidFill>
          </w14:textFill>
        </w:rPr>
        <w:t>实施严格的土地管理制度</w:t>
      </w:r>
      <w:r>
        <w:rPr>
          <w:rFonts w:hint="default" w:ascii="Times New Roman" w:hAnsi="Times New Roman" w:cs="Times New Roman"/>
          <w:color w:val="000000" w:themeColor="text1"/>
          <w:highlight w:val="none"/>
          <w14:textFill>
            <w14:solidFill>
              <w14:schemeClr w14:val="tx1"/>
            </w14:solidFill>
          </w14:textFill>
        </w:rPr>
        <w:t>，精准保障重大项目用地，优先利用存量土地，盘活闲置低效用地，创新供地方式，实现建设项目用地应保尽保，加强城镇土地混合使用，提升城镇用地人口、产业承载能力。加快盘活园区闲置土地资源，加大批而未供和闲置土地处置力度，推进低效用地再开发；严格乡村土地用途管制，整合零散建设用地，减少低效占用等；优化混合用地供给，建立产业用地转换机制；制定混合用地用途负面清单，推动地上地下空间复合开发，拓展存量用地利用方式，鼓励以长期租赁、先租后让、租让结合等供地方式供应产业用地，提升资源循环利用水平。</w:t>
      </w:r>
      <w:r>
        <w:rPr>
          <w:rFonts w:hint="default" w:ascii="Times New Roman" w:hAnsi="Times New Roman" w:cs="Times New Roman"/>
          <w:b/>
          <w:bCs/>
          <w:color w:val="000000" w:themeColor="text1"/>
          <w:highlight w:val="none"/>
          <w14:textFill>
            <w14:solidFill>
              <w14:schemeClr w14:val="tx1"/>
            </w14:solidFill>
          </w14:textFill>
        </w:rPr>
        <w:t>构建资源供需信息互联互通机制</w:t>
      </w:r>
      <w:r>
        <w:rPr>
          <w:rFonts w:hint="default" w:ascii="Times New Roman" w:hAnsi="Times New Roman" w:cs="Times New Roman"/>
          <w:color w:val="000000" w:themeColor="text1"/>
          <w:highlight w:val="none"/>
          <w14:textFill>
            <w14:solidFill>
              <w14:schemeClr w14:val="tx1"/>
            </w14:solidFill>
          </w14:textFill>
        </w:rPr>
        <w:t>，搭建跨行业跨领域数字化共享平台，促进资源高效流转与协同共享。</w:t>
      </w:r>
    </w:p>
    <w:p w14:paraId="2051D97A">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54" w:name="_Toc12918"/>
      <w:r>
        <w:rPr>
          <w:rFonts w:hint="default" w:ascii="Times New Roman" w:hAnsi="Times New Roman" w:eastAsia="方正楷体_GBK" w:cs="Times New Roman"/>
          <w:b/>
          <w:bCs/>
          <w:color w:val="000000" w:themeColor="text1"/>
          <w:szCs w:val="32"/>
          <w:highlight w:val="none"/>
          <w14:textFill>
            <w14:solidFill>
              <w14:schemeClr w14:val="tx1"/>
            </w14:solidFill>
          </w14:textFill>
        </w:rPr>
        <w:t>第四节 大力实施“双碳”行动</w:t>
      </w:r>
      <w:bookmarkEnd w:id="54"/>
    </w:p>
    <w:p w14:paraId="7F10D49D">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落实好碳达峰碳中和政策，加强碳排放总量和强度双控基础能力建设，推动建立统一规范的碳排放统计核算体系。</w:t>
      </w:r>
      <w:r>
        <w:rPr>
          <w:rFonts w:hint="default" w:ascii="Times New Roman" w:hAnsi="Times New Roman" w:cs="Times New Roman"/>
          <w:color w:val="000000" w:themeColor="text1"/>
          <w:szCs w:val="32"/>
          <w:highlight w:val="none"/>
          <w:lang w:bidi="ar"/>
          <w14:textFill>
            <w14:solidFill>
              <w14:schemeClr w14:val="tx1"/>
            </w14:solidFill>
          </w14:textFill>
        </w:rPr>
        <w:t>加快健全碳管理体系，开展碳捕集、封存技术攻关与推广运用，推进碳汇开发与绿电绿证交易。</w:t>
      </w:r>
      <w:r>
        <w:rPr>
          <w:rFonts w:hint="default" w:ascii="Times New Roman" w:hAnsi="Times New Roman" w:cs="Times New Roman"/>
          <w:b/>
          <w:bCs/>
          <w:color w:val="000000" w:themeColor="text1"/>
          <w:highlight w:val="none"/>
          <w14:textFill>
            <w14:solidFill>
              <w14:schemeClr w14:val="tx1"/>
            </w14:solidFill>
          </w14:textFill>
        </w:rPr>
        <w:t>推动重点领域低碳改造，</w:t>
      </w:r>
      <w:r>
        <w:rPr>
          <w:rFonts w:hint="default" w:ascii="Times New Roman" w:hAnsi="Times New Roman" w:cs="Times New Roman"/>
          <w:highlight w:val="none"/>
        </w:rPr>
        <w:t>推进既有建筑节能改造，到2030年星级绿色建筑全面使用绿色建材。</w:t>
      </w:r>
      <w:r>
        <w:rPr>
          <w:rFonts w:hint="default" w:ascii="Times New Roman" w:hAnsi="Times New Roman" w:cs="Times New Roman"/>
          <w:color w:val="000000" w:themeColor="text1"/>
          <w:highlight w:val="none"/>
          <w14:textFill>
            <w14:solidFill>
              <w14:schemeClr w14:val="tx1"/>
            </w14:solidFill>
          </w14:textFill>
        </w:rPr>
        <w:t>鼓励园区企业使用电动叉车等装备，提升短途清洁运输比例；推动包铝等重点企业在大宗物料长距离运输中使用铁路、新能源车等清洁运输方式；建立完善新能源车辆租赁平台，为中小企业提供长</w:t>
      </w:r>
      <w:r>
        <w:rPr>
          <w:rFonts w:hint="eastAsia" w:cs="Times New Roman"/>
          <w:color w:val="000000" w:themeColor="text1"/>
          <w:highlight w:val="none"/>
          <w:lang w:eastAsia="zh-CN"/>
          <w14:textFill>
            <w14:solidFill>
              <w14:schemeClr w14:val="tx1"/>
            </w14:solidFill>
          </w14:textFill>
        </w:rPr>
        <w:t>距离</w:t>
      </w:r>
      <w:r>
        <w:rPr>
          <w:rFonts w:hint="default" w:ascii="Times New Roman" w:hAnsi="Times New Roman" w:cs="Times New Roman"/>
          <w:color w:val="000000" w:themeColor="text1"/>
          <w:highlight w:val="none"/>
          <w14:textFill>
            <w14:solidFill>
              <w14:schemeClr w14:val="tx1"/>
            </w14:solidFill>
          </w14:textFill>
        </w:rPr>
        <w:t>新能源车辆租赁服务；</w:t>
      </w:r>
      <w:r>
        <w:rPr>
          <w:rFonts w:hint="default" w:ascii="Times New Roman" w:hAnsi="Times New Roman" w:cs="Times New Roman"/>
          <w:highlight w:val="none"/>
        </w:rPr>
        <w:t>推动氢燃料电池汽车多场景规模化应用</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b/>
          <w:bCs/>
          <w:color w:val="000000" w:themeColor="text1"/>
          <w:highlight w:val="none"/>
          <w14:textFill>
            <w14:solidFill>
              <w14:schemeClr w14:val="tx1"/>
            </w14:solidFill>
          </w14:textFill>
        </w:rPr>
        <w:t>推广绿色低碳生活方式</w:t>
      </w:r>
      <w:r>
        <w:rPr>
          <w:rFonts w:hint="default" w:ascii="Times New Roman" w:hAnsi="Times New Roman" w:cs="Times New Roman"/>
          <w:color w:val="000000" w:themeColor="text1"/>
          <w:highlight w:val="none"/>
          <w14:textFill>
            <w14:solidFill>
              <w14:schemeClr w14:val="tx1"/>
            </w14:solidFill>
          </w14:textFill>
        </w:rPr>
        <w:t>，健全绿色消费激励机制，提高终端用能电气化水平，创建节约型机关、绿色商场和校园。</w:t>
      </w:r>
      <w:r>
        <w:rPr>
          <w:rFonts w:hint="default" w:ascii="Times New Roman" w:hAnsi="Times New Roman" w:cs="Times New Roman"/>
          <w:color w:val="000000" w:themeColor="text1"/>
          <w:szCs w:val="32"/>
          <w:highlight w:val="none"/>
          <w14:textFill>
            <w14:solidFill>
              <w14:schemeClr w14:val="tx1"/>
            </w14:solidFill>
          </w14:textFill>
        </w:rPr>
        <w:t>拓展生态产品价值实现渠道，</w:t>
      </w:r>
      <w:r>
        <w:rPr>
          <w:rFonts w:hint="default" w:ascii="Times New Roman" w:hAnsi="Times New Roman" w:cs="Times New Roman"/>
          <w:color w:val="000000" w:themeColor="text1"/>
          <w:highlight w:val="none"/>
          <w14:textFill>
            <w14:solidFill>
              <w14:schemeClr w14:val="tx1"/>
            </w14:solidFill>
          </w14:textFill>
        </w:rPr>
        <w:t>建立绿色转型项目库和技术创新平台，构建政府引导、市场主导、社会参与的多元化投融资体系，引进生态环保、新能源、碳管理等领域的专业人才，推动绿色技术成果转化。</w:t>
      </w:r>
    </w:p>
    <w:p w14:paraId="43B98D30">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55" w:name="_Toc26652"/>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第五节 完善生态文明建设治理体系</w:t>
      </w:r>
      <w:bookmarkEnd w:id="55"/>
    </w:p>
    <w:p w14:paraId="406A318B">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推进生态环境治理标准体系、责任体系、监管体系、市场体系、法规政策体系建设。坚持和加强党对生态文明建设的全面领导，明确党政同责与“一岗双责”，落实领导干部审计、终身追责要求，完善网格监管与问题通报机制，强化部门履职考核，形成齐抓共管格局。创新生态产品价值实现机制，构建生态系统生产总值（</w:t>
      </w:r>
      <w:r>
        <w:rPr>
          <w:rFonts w:hint="eastAsia" w:cs="Times New Roman"/>
          <w:color w:val="000000" w:themeColor="text1"/>
          <w:highlight w:val="none"/>
          <w:lang w:val="en-US" w:eastAsia="zh-CN"/>
          <w14:textFill>
            <w14:solidFill>
              <w14:schemeClr w14:val="tx1"/>
            </w14:solidFill>
          </w14:textFill>
        </w:rPr>
        <w:t>G</w:t>
      </w:r>
      <w:r>
        <w:rPr>
          <w:rFonts w:hint="default" w:ascii="Times New Roman" w:hAnsi="Times New Roman" w:cs="Times New Roman"/>
          <w:color w:val="000000" w:themeColor="text1"/>
          <w:highlight w:val="none"/>
          <w14:textFill>
            <w14:solidFill>
              <w14:schemeClr w14:val="tx1"/>
            </w14:solidFill>
          </w14:textFill>
        </w:rPr>
        <w:t>EP）核算与应用体系。</w:t>
      </w:r>
      <w:r>
        <w:rPr>
          <w:rFonts w:hint="default" w:ascii="Times New Roman" w:hAnsi="Times New Roman" w:cs="Times New Roman"/>
          <w:b/>
          <w:bCs/>
          <w:color w:val="000000" w:themeColor="text1"/>
          <w:highlight w:val="none"/>
          <w14:textFill>
            <w14:solidFill>
              <w14:schemeClr w14:val="tx1"/>
            </w14:solidFill>
          </w14:textFill>
        </w:rPr>
        <w:t>完善督察整改机制</w:t>
      </w:r>
      <w:r>
        <w:rPr>
          <w:rFonts w:hint="default" w:ascii="Times New Roman" w:hAnsi="Times New Roman" w:cs="Times New Roman"/>
          <w:color w:val="000000" w:themeColor="text1"/>
          <w:highlight w:val="none"/>
          <w14:textFill>
            <w14:solidFill>
              <w14:schemeClr w14:val="tx1"/>
            </w14:solidFill>
          </w14:textFill>
        </w:rPr>
        <w:t>，制定各类环保督察、警示片反馈问题整改方案，健全机构机制，限期整治整改。</w:t>
      </w:r>
      <w:r>
        <w:rPr>
          <w:rFonts w:hint="default" w:ascii="Times New Roman" w:hAnsi="Times New Roman" w:cs="Times New Roman"/>
          <w:b/>
          <w:bCs/>
          <w:color w:val="000000" w:themeColor="text1"/>
          <w:highlight w:val="none"/>
          <w14:textFill>
            <w14:solidFill>
              <w14:schemeClr w14:val="tx1"/>
            </w14:solidFill>
          </w14:textFill>
        </w:rPr>
        <w:t>健全企业环保信用体系，</w:t>
      </w:r>
      <w:r>
        <w:rPr>
          <w:rFonts w:hint="default" w:ascii="Times New Roman" w:hAnsi="Times New Roman" w:cs="Times New Roman"/>
          <w:color w:val="000000" w:themeColor="text1"/>
          <w:highlight w:val="none"/>
          <w14:textFill>
            <w14:solidFill>
              <w14:schemeClr w14:val="tx1"/>
            </w14:solidFill>
          </w14:textFill>
        </w:rPr>
        <w:t>扩大企业参评范围，强化“三同时”、自行监测等信息采集整理，完善环保信息公开制度。</w:t>
      </w:r>
      <w:r>
        <w:rPr>
          <w:rFonts w:hint="default" w:ascii="Times New Roman" w:hAnsi="Times New Roman" w:cs="Times New Roman"/>
          <w:b/>
          <w:bCs/>
          <w:color w:val="000000" w:themeColor="text1"/>
          <w:highlight w:val="none"/>
          <w14:textFill>
            <w14:solidFill>
              <w14:schemeClr w14:val="tx1"/>
            </w14:solidFill>
          </w14:textFill>
        </w:rPr>
        <w:t>推进排污许可管理</w:t>
      </w:r>
      <w:r>
        <w:rPr>
          <w:rFonts w:hint="default" w:ascii="Times New Roman" w:hAnsi="Times New Roman" w:cs="Times New Roman"/>
          <w:color w:val="000000" w:themeColor="text1"/>
          <w:highlight w:val="none"/>
          <w14:textFill>
            <w14:solidFill>
              <w14:schemeClr w14:val="tx1"/>
            </w14:solidFill>
          </w14:textFill>
        </w:rPr>
        <w:t>，落实排污许可制实施方案，推动持证企业“一证式”管理，将许可要求纳入监管平台动态管控。</w:t>
      </w:r>
      <w:r>
        <w:rPr>
          <w:rFonts w:hint="default" w:ascii="Times New Roman" w:hAnsi="Times New Roman" w:cs="Times New Roman"/>
          <w:b/>
          <w:bCs/>
          <w:color w:val="000000" w:themeColor="text1"/>
          <w:highlight w:val="none"/>
          <w14:textFill>
            <w14:solidFill>
              <w14:schemeClr w14:val="tx1"/>
            </w14:solidFill>
          </w14:textFill>
        </w:rPr>
        <w:t>完善生态环境监测体系</w:t>
      </w:r>
      <w:r>
        <w:rPr>
          <w:rFonts w:hint="default" w:ascii="Times New Roman" w:hAnsi="Times New Roman" w:cs="Times New Roman"/>
          <w:color w:val="000000" w:themeColor="text1"/>
          <w:highlight w:val="none"/>
          <w14:textFill>
            <w14:solidFill>
              <w14:schemeClr w14:val="tx1"/>
            </w14:solidFill>
          </w14:textFill>
        </w:rPr>
        <w:t>，优化空气质量监测网格，提高固定污染源在线监测覆盖率，提升南海子湿地生态监测能力。</w:t>
      </w:r>
      <w:r>
        <w:rPr>
          <w:rFonts w:hint="default" w:ascii="Times New Roman" w:hAnsi="Times New Roman" w:cs="Times New Roman"/>
          <w:b/>
          <w:bCs/>
          <w:color w:val="000000" w:themeColor="text1"/>
          <w:highlight w:val="none"/>
          <w14:textFill>
            <w14:solidFill>
              <w14:schemeClr w14:val="tx1"/>
            </w14:solidFill>
          </w14:textFill>
        </w:rPr>
        <w:t>强化执法监管力度</w:t>
      </w:r>
      <w:r>
        <w:rPr>
          <w:rFonts w:hint="default" w:ascii="Times New Roman" w:hAnsi="Times New Roman" w:cs="Times New Roman"/>
          <w:color w:val="000000" w:themeColor="text1"/>
          <w:highlight w:val="none"/>
          <w14:textFill>
            <w14:solidFill>
              <w14:schemeClr w14:val="tx1"/>
            </w14:solidFill>
          </w14:textFill>
        </w:rPr>
        <w:t>，完善生态环境监管执法体制，加强行政执法与刑事司法衔接工作，建立案件联合会商等机制，推进无人机、大数据非现场执法，结合季节与区域特点开展专项打击行动。</w:t>
      </w:r>
      <w:r>
        <w:rPr>
          <w:rFonts w:hint="default" w:ascii="Times New Roman" w:hAnsi="Times New Roman" w:cs="Times New Roman"/>
          <w:b/>
          <w:bCs/>
          <w:color w:val="000000" w:themeColor="text1"/>
          <w:highlight w:val="none"/>
          <w14:textFill>
            <w14:solidFill>
              <w14:schemeClr w14:val="tx1"/>
            </w14:solidFill>
          </w14:textFill>
        </w:rPr>
        <w:t>健全生态环境市场体系</w:t>
      </w:r>
      <w:r>
        <w:rPr>
          <w:rFonts w:hint="default" w:ascii="Times New Roman" w:hAnsi="Times New Roman" w:cs="Times New Roman"/>
          <w:color w:val="000000" w:themeColor="text1"/>
          <w:highlight w:val="none"/>
          <w14:textFill>
            <w14:solidFill>
              <w14:schemeClr w14:val="tx1"/>
            </w14:solidFill>
          </w14:textFill>
        </w:rPr>
        <w:t>，推动环保管家试点，优化营商环境，推动环评审批从“被动受理”转向“主动服务”转变。统筹推进生态环境损害赔偿。</w:t>
      </w:r>
    </w:p>
    <w:p w14:paraId="00E22AF5">
      <w:pPr>
        <w:spacing w:line="560" w:lineRule="exact"/>
        <w:ind w:firstLine="0" w:firstLineChars="0"/>
        <w:jc w:val="center"/>
        <w:outlineLvl w:val="0"/>
        <w:rPr>
          <w:rFonts w:hint="default" w:ascii="Times New Roman" w:hAnsi="Times New Roman" w:eastAsia="黑体" w:cs="Times New Roman"/>
          <w:color w:val="000000" w:themeColor="text1"/>
          <w:highlight w:val="none"/>
          <w14:textFill>
            <w14:solidFill>
              <w14:schemeClr w14:val="tx1"/>
            </w14:solidFill>
          </w14:textFill>
        </w:rPr>
      </w:pPr>
      <w:bookmarkStart w:id="56" w:name="_Toc14520"/>
      <w:r>
        <w:rPr>
          <w:rFonts w:hint="default" w:ascii="Times New Roman" w:hAnsi="Times New Roman" w:eastAsia="黑体" w:cs="Times New Roman"/>
          <w:color w:val="000000" w:themeColor="text1"/>
          <w:szCs w:val="32"/>
          <w:highlight w:val="none"/>
          <w14:textFill>
            <w14:solidFill>
              <w14:schemeClr w14:val="tx1"/>
            </w14:solidFill>
          </w14:textFill>
        </w:rPr>
        <w:t>第八章 坚持城乡统筹发展，持续提升城市功能与品质</w:t>
      </w:r>
      <w:bookmarkEnd w:id="56"/>
    </w:p>
    <w:p w14:paraId="53DC4B6A">
      <w:pPr>
        <w:spacing w:line="560" w:lineRule="exact"/>
        <w:ind w:firstLine="640"/>
        <w:rPr>
          <w:rFonts w:hint="default" w:ascii="Times New Roman" w:hAnsi="Times New Roman" w:eastAsia="方正楷体_GBK" w:cs="Times New Roman"/>
          <w:b/>
          <w:bCs/>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以建设创新、宜居、美丽、韧性、文明、智慧的现代化人民城市为目标，深入践行“人民城市人民建，人民城市为人民”理念，统筹推进城市更新和乡村振兴，</w:t>
      </w:r>
      <w:r>
        <w:rPr>
          <w:rFonts w:hint="default" w:ascii="Times New Roman" w:hAnsi="Times New Roman" w:cs="Times New Roman"/>
          <w:color w:val="000000" w:themeColor="text1"/>
          <w:szCs w:val="32"/>
          <w:highlight w:val="none"/>
          <w14:textFill>
            <w14:solidFill>
              <w14:schemeClr w14:val="tx1"/>
            </w14:solidFill>
          </w14:textFill>
        </w:rPr>
        <w:t>深入推进</w:t>
      </w:r>
      <w:r>
        <w:rPr>
          <w:rFonts w:hint="eastAsia" w:cs="Times New Roman"/>
          <w:color w:val="000000" w:themeColor="text1"/>
          <w:szCs w:val="32"/>
          <w:highlight w:val="none"/>
          <w:lang w:eastAsia="zh-CN"/>
          <w14:textFill>
            <w14:solidFill>
              <w14:schemeClr w14:val="tx1"/>
            </w14:solidFill>
          </w14:textFill>
        </w:rPr>
        <w:t>以人为本的新型城镇化</w:t>
      </w:r>
      <w:r>
        <w:rPr>
          <w:rFonts w:hint="default" w:ascii="Times New Roman" w:hAnsi="Times New Roman" w:cs="Times New Roman"/>
          <w:color w:val="000000" w:themeColor="text1"/>
          <w:szCs w:val="32"/>
          <w:highlight w:val="none"/>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促进产城人深度融合，实现“以城引人、以境聚人、以业留人”良性循环，努力打造功能完善、宜居宜业、特色鲜明的老包头城区名片，让东河成为承载群众美好生活向往的宜居之地。</w:t>
      </w:r>
    </w:p>
    <w:p w14:paraId="454603BD">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57" w:name="_Toc6767"/>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第一节 优化国土空间规划</w:t>
      </w:r>
      <w:bookmarkEnd w:id="57"/>
    </w:p>
    <w:p w14:paraId="2A0A4885">
      <w:pPr>
        <w:spacing w:line="560" w:lineRule="exact"/>
        <w:ind w:firstLine="640"/>
        <w:rPr>
          <w:rStyle w:val="71"/>
          <w:rFonts w:hint="default" w:ascii="Times New Roman" w:hAnsi="Times New Roman" w:eastAsia="楷体_GB2312"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健全“多规合一”国土空间规划体系，构建功能清晰、协调有序、集约高效的国土空间治理体系，严守“三区三线”，</w:t>
      </w:r>
      <w:r>
        <w:rPr>
          <w:rFonts w:hint="default" w:ascii="Times New Roman" w:hAnsi="Times New Roman" w:cs="Times New Roman"/>
          <w:color w:val="000000" w:themeColor="text1"/>
          <w:szCs w:val="32"/>
          <w:highlight w:val="none"/>
          <w14:textFill>
            <w14:solidFill>
              <w14:schemeClr w14:val="tx1"/>
            </w14:solidFill>
          </w14:textFill>
        </w:rPr>
        <w:t>分区分类实施差别化、精细化用途管制，</w:t>
      </w:r>
      <w:r>
        <w:rPr>
          <w:rFonts w:hint="default" w:ascii="Times New Roman" w:hAnsi="Times New Roman" w:cs="Times New Roman"/>
          <w:color w:val="000000" w:themeColor="text1"/>
          <w:highlight w:val="none"/>
          <w14:textFill>
            <w14:solidFill>
              <w14:schemeClr w14:val="tx1"/>
            </w14:solidFill>
          </w14:textFill>
        </w:rPr>
        <w:t>统筹增量存量空间利用，</w:t>
      </w:r>
      <w:r>
        <w:rPr>
          <w:rFonts w:hint="default" w:ascii="Times New Roman" w:hAnsi="Times New Roman" w:cs="Times New Roman"/>
          <w:color w:val="000000" w:themeColor="text1"/>
          <w:szCs w:val="32"/>
          <w:highlight w:val="none"/>
          <w14:textFill>
            <w14:solidFill>
              <w14:schemeClr w14:val="tx1"/>
            </w14:solidFill>
          </w14:textFill>
        </w:rPr>
        <w:t>落实生态环境分区管控和产业布局优化，</w:t>
      </w:r>
      <w:r>
        <w:rPr>
          <w:rFonts w:hint="default" w:ascii="Times New Roman" w:hAnsi="Times New Roman" w:cs="Times New Roman"/>
          <w:color w:val="000000" w:themeColor="text1"/>
          <w:highlight w:val="none"/>
          <w14:textFill>
            <w14:solidFill>
              <w14:schemeClr w14:val="tx1"/>
            </w14:solidFill>
          </w14:textFill>
        </w:rPr>
        <w:t>到2030年确保耕地保护面积超13.55万亩、永久基本农田面积超9.26万亩。以“北山南海中带”为骨架，北部推进大青山生态修复等，建立生态监测预警系统；南部加强黄河北岸湿地生态廊道建设，实施生态补水、岸线整治等工程，</w:t>
      </w:r>
      <w:r>
        <w:rPr>
          <w:rFonts w:hint="default" w:ascii="Times New Roman" w:hAnsi="Times New Roman" w:cs="Times New Roman"/>
          <w:color w:val="000000" w:themeColor="text1"/>
          <w:szCs w:val="32"/>
          <w:highlight w:val="none"/>
          <w14:textFill>
            <w14:solidFill>
              <w14:schemeClr w14:val="tx1"/>
            </w14:solidFill>
          </w14:textFill>
        </w:rPr>
        <w:t>打造集餐饮、住宿、出行、旅游、度假于一体的生活性服务业集群</w:t>
      </w:r>
      <w:r>
        <w:rPr>
          <w:rFonts w:hint="default" w:ascii="Times New Roman" w:hAnsi="Times New Roman" w:cs="Times New Roman"/>
          <w:color w:val="000000" w:themeColor="text1"/>
          <w:highlight w:val="none"/>
          <w14:textFill>
            <w14:solidFill>
              <w14:schemeClr w14:val="tx1"/>
            </w14:solidFill>
          </w14:textFill>
        </w:rPr>
        <w:t>，成为带动东河高质量发展的重要力量；中部以铝业园区、北梁地区、中心城区、南部地区和东部地区为抓手，实现城乡产业协同发展。</w:t>
      </w:r>
      <w:r>
        <w:rPr>
          <w:rFonts w:hint="default" w:ascii="Times New Roman" w:hAnsi="Times New Roman" w:cs="Times New Roman"/>
          <w:b/>
          <w:bCs/>
          <w:color w:val="000000" w:themeColor="text1"/>
          <w:highlight w:val="none"/>
          <w14:textFill>
            <w14:solidFill>
              <w14:schemeClr w14:val="tx1"/>
            </w14:solidFill>
          </w14:textFill>
        </w:rPr>
        <w:t>始终坚持规划引领，</w:t>
      </w:r>
      <w:r>
        <w:rPr>
          <w:rFonts w:hint="default" w:ascii="Times New Roman" w:hAnsi="Times New Roman" w:cs="Times New Roman"/>
          <w:color w:val="000000" w:themeColor="text1"/>
          <w:highlight w:val="none"/>
          <w14:textFill>
            <w14:solidFill>
              <w14:schemeClr w14:val="tx1"/>
            </w14:solidFill>
          </w14:textFill>
        </w:rPr>
        <w:t>开展国土空间总体规划评估修编及优化深化详规工作，坚持增量空间精准投放与存量空间高效盘活并重，实现刚性管控与弹性适应有机统一。严格落实城市更新行动实施方案，高质量完成城市更新行动项目，完善绿地系统、公共服务和基础设施。科学编制村庄规划，指导村庄建设。逐步完善国土空间规划“一张图”系统和基础信息平台，建立国土空间规划实施监测网络，提高空间治理数字化水平。</w:t>
      </w:r>
      <w:r>
        <w:rPr>
          <w:rFonts w:hint="default" w:ascii="Times New Roman" w:hAnsi="Times New Roman" w:cs="Times New Roman"/>
          <w:b/>
          <w:bCs/>
          <w:color w:val="000000" w:themeColor="text1"/>
          <w:highlight w:val="none"/>
          <w14:textFill>
            <w14:solidFill>
              <w14:schemeClr w14:val="tx1"/>
            </w14:solidFill>
          </w14:textFill>
        </w:rPr>
        <w:t>提升土地利用效率，</w:t>
      </w:r>
      <w:r>
        <w:rPr>
          <w:rFonts w:hint="default" w:ascii="Times New Roman" w:hAnsi="Times New Roman" w:cs="Times New Roman"/>
          <w:color w:val="000000" w:themeColor="text1"/>
          <w:highlight w:val="none"/>
          <w14:textFill>
            <w14:solidFill>
              <w14:schemeClr w14:val="tx1"/>
            </w14:solidFill>
          </w14:textFill>
        </w:rPr>
        <w:t>加快推进铝业园区城镇开发边界调整，优化空间单元详细规划。</w:t>
      </w:r>
      <w:r>
        <w:rPr>
          <w:rFonts w:hint="default" w:ascii="Times New Roman" w:hAnsi="Times New Roman" w:cs="Times New Roman"/>
          <w:b/>
          <w:bCs/>
          <w:color w:val="000000" w:themeColor="text1"/>
          <w:highlight w:val="none"/>
          <w14:textFill>
            <w14:solidFill>
              <w14:schemeClr w14:val="tx1"/>
            </w14:solidFill>
          </w14:textFill>
        </w:rPr>
        <w:t>促进节约集约用地，</w:t>
      </w:r>
      <w:r>
        <w:rPr>
          <w:rFonts w:hint="default" w:ascii="Times New Roman" w:hAnsi="Times New Roman" w:cs="Times New Roman"/>
          <w:color w:val="000000" w:themeColor="text1"/>
          <w:highlight w:val="none"/>
          <w14:textFill>
            <w14:solidFill>
              <w14:schemeClr w14:val="tx1"/>
            </w14:solidFill>
          </w14:textFill>
        </w:rPr>
        <w:t>严格土地增减挂钩，优先保障重大项目与民生工程用地需求。加强耕地“三位一体”保护，推进城乡低效用地再开发，保障园区用地，推行“标准地”与弹性供地；推动乡村居民点整合与拆旧复垦，开展农村建设用地整治和增减挂钩项目，促进人口和产业集中。</w:t>
      </w:r>
      <w:r>
        <w:rPr>
          <w:rFonts w:hint="default" w:ascii="Times New Roman" w:hAnsi="Times New Roman" w:cs="Times New Roman"/>
          <w:b/>
          <w:bCs/>
          <w:color w:val="000000" w:themeColor="text1"/>
          <w:highlight w:val="none"/>
          <w14:textFill>
            <w14:solidFill>
              <w14:schemeClr w14:val="tx1"/>
            </w14:solidFill>
          </w14:textFill>
        </w:rPr>
        <w:t>健全城市安全体系，</w:t>
      </w:r>
      <w:r>
        <w:rPr>
          <w:rFonts w:hint="default" w:ascii="Times New Roman" w:hAnsi="Times New Roman" w:cs="Times New Roman"/>
          <w:color w:val="000000" w:themeColor="text1"/>
          <w:highlight w:val="none"/>
          <w14:textFill>
            <w14:solidFill>
              <w14:schemeClr w14:val="tx1"/>
            </w14:solidFill>
          </w14:textFill>
        </w:rPr>
        <w:t>深化“监测—预警—响应”机制，完善灾害应急预案与联合演练，重点防治沿山沿河地质灾害，加强动态监测与应急储备；推进海绵城市建设，科学划定功能分区与管控单元，配套智慧排水与应急排涝设施。</w:t>
      </w:r>
    </w:p>
    <w:p w14:paraId="678CEE81">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58" w:name="_Toc16919"/>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第二节 实施城市更新行动</w:t>
      </w:r>
      <w:bookmarkEnd w:id="58"/>
    </w:p>
    <w:p w14:paraId="24A6C30D">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纵深推进城市更新三年攻坚行动，统筹实施老旧小区、危旧住房、重点片区更新改造，增强城市安全韧性，厚植城市绿色基底。</w:t>
      </w:r>
      <w:r>
        <w:rPr>
          <w:rFonts w:hint="default" w:ascii="Times New Roman" w:hAnsi="Times New Roman" w:cs="Times New Roman"/>
          <w:b/>
          <w:bCs/>
          <w:color w:val="000000" w:themeColor="text1"/>
          <w:highlight w:val="none"/>
          <w14:textFill>
            <w14:solidFill>
              <w14:schemeClr w14:val="tx1"/>
            </w14:solidFill>
          </w14:textFill>
        </w:rPr>
        <w:t>积极推进基础设施更新改造</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highlight w:val="none"/>
        </w:rPr>
        <w:t>持续更新改造供水、供热、污水等老旧管网，推进供热管网互联互通，</w:t>
      </w:r>
      <w:r>
        <w:rPr>
          <w:rFonts w:hint="default" w:ascii="Times New Roman" w:hAnsi="Times New Roman" w:cs="Times New Roman"/>
          <w:color w:val="000000" w:themeColor="text1"/>
          <w:highlight w:val="none"/>
          <w14:textFill>
            <w14:solidFill>
              <w14:schemeClr w14:val="tx1"/>
            </w14:solidFill>
          </w14:textFill>
        </w:rPr>
        <w:t>扩围升级城市“一刻钟便民生活圈”，推动适老化、适儿化改造。</w:t>
      </w:r>
      <w:r>
        <w:rPr>
          <w:rFonts w:hint="default" w:ascii="Times New Roman" w:hAnsi="Times New Roman" w:cs="Times New Roman"/>
          <w:highlight w:val="none"/>
        </w:rPr>
        <w:t>开展城镇闲置存量土地处置专项行动，启动</w:t>
      </w:r>
      <w:r>
        <w:rPr>
          <w:rFonts w:hint="default" w:ascii="Times New Roman" w:hAnsi="Times New Roman" w:cs="Times New Roman"/>
          <w:color w:val="000000" w:themeColor="text1"/>
          <w:highlight w:val="none"/>
          <w14:textFill>
            <w14:solidFill>
              <w14:schemeClr w14:val="tx1"/>
            </w14:solidFill>
          </w14:textFill>
        </w:rPr>
        <w:t>老旧厂房、低效楼宇功能转换和混合利用，盘活存量资源补齐公共服务短板。高标准建设城市基础设施生命线安全工程，严格执行建筑物通信基础设施强制性标准，推动建设坚强局部电网、应急备用水源和“平急两用”设施，提升城市应对突发事件承载能力。打造安全舒适高效的绿色出行网络，支持东河机场打造区域航空次枢纽，推动包头东站改造升级综合客运枢纽，打通外环路、石桥街等断头路，强化老城区与北梁腾空区的连通，强化与市区周边公路、高速大外环的连接；稳步推进智慧交通建设，规划建设集自行车道、步行道、休闲驿站于一体的慢行系统，构建集约、高效、智慧的绿色运输体系，开展城区桥梁、隧道安全隐患普查和改造。</w:t>
      </w:r>
      <w:r>
        <w:rPr>
          <w:rFonts w:hint="default" w:ascii="Times New Roman" w:hAnsi="Times New Roman" w:cs="Times New Roman"/>
          <w:b/>
          <w:bCs/>
          <w:color w:val="000000" w:themeColor="text1"/>
          <w:highlight w:val="none"/>
          <w14:textFill>
            <w14:solidFill>
              <w14:schemeClr w14:val="tx1"/>
            </w14:solidFill>
          </w14:textFill>
        </w:rPr>
        <w:t>积极推动重点片区更新改造，</w:t>
      </w:r>
      <w:r>
        <w:rPr>
          <w:rFonts w:hint="default" w:ascii="Times New Roman" w:hAnsi="Times New Roman" w:cs="Times New Roman"/>
          <w:color w:val="000000" w:themeColor="text1"/>
          <w:highlight w:val="none"/>
          <w14:textFill>
            <w14:solidFill>
              <w14:schemeClr w14:val="tx1"/>
            </w14:solidFill>
          </w14:textFill>
        </w:rPr>
        <w:t>推动北梁片区建设，整合包一中、景开中学等优质教育资源与包头金街、走西口文化街区等特色文旅资源，建设高品质住宅，高标准配套教育、医疗、文化等公共服务，吸引更多年轻人安家落户。统筹老旧小区和危旧房改造，以“三廊五单元”为骨架，实施微更新与危旧房改造，系统推进“好房子”与完整社区建设，盘活存量低效用地，补齐市政设施短板，让“老城区”焕发新面貌。推动南部区建设发展，推进南海和沿黄湿地生态修复与基础设施建设，发展高端特色服务，形成新的增长点。</w:t>
      </w:r>
      <w:r>
        <w:rPr>
          <w:rFonts w:hint="default" w:ascii="Times New Roman" w:hAnsi="Times New Roman" w:cs="Times New Roman"/>
          <w:b/>
          <w:bCs/>
          <w:color w:val="000000" w:themeColor="text1"/>
          <w:highlight w:val="none"/>
          <w14:textFill>
            <w14:solidFill>
              <w14:schemeClr w14:val="tx1"/>
            </w14:solidFill>
          </w14:textFill>
        </w:rPr>
        <w:t>全力提升城区整体风貌，</w:t>
      </w:r>
      <w:r>
        <w:rPr>
          <w:rFonts w:hint="default" w:ascii="Times New Roman" w:hAnsi="Times New Roman" w:cs="Times New Roman"/>
          <w:highlight w:val="none"/>
        </w:rPr>
        <w:t>加强地标建筑、雕塑雕像、园林景观规划引导，建设发展</w:t>
      </w:r>
      <w:r>
        <w:rPr>
          <w:rFonts w:hint="default" w:ascii="Times New Roman" w:hAnsi="Times New Roman" w:cs="Times New Roman"/>
          <w:color w:val="000000" w:themeColor="text1"/>
          <w:highlight w:val="none"/>
          <w14:textFill>
            <w14:solidFill>
              <w14:schemeClr w14:val="tx1"/>
            </w14:solidFill>
          </w14:textFill>
        </w:rPr>
        <w:t>重现老包头市井烟火气的特色步行街区，推进生态公园、城市广场等公共设施升级，系统提升东河区城区品质，塑造具有鲜明东河特色的城区气质。</w:t>
      </w:r>
      <w:r>
        <w:rPr>
          <w:rFonts w:hint="default" w:ascii="Times New Roman" w:hAnsi="Times New Roman" w:cs="Times New Roman"/>
          <w:b/>
          <w:bCs/>
          <w:color w:val="000000" w:themeColor="text1"/>
          <w:highlight w:val="none"/>
          <w14:textFill>
            <w14:solidFill>
              <w14:schemeClr w14:val="tx1"/>
            </w14:solidFill>
          </w14:textFill>
        </w:rPr>
        <w:t>进一步健全城市更新机制，</w:t>
      </w:r>
      <w:r>
        <w:rPr>
          <w:rFonts w:hint="default" w:ascii="Times New Roman" w:hAnsi="Times New Roman" w:cs="Times New Roman"/>
          <w:color w:val="000000" w:themeColor="text1"/>
          <w:highlight w:val="none"/>
          <w14:textFill>
            <w14:solidFill>
              <w14:schemeClr w14:val="tx1"/>
            </w14:solidFill>
          </w14:textFill>
        </w:rPr>
        <w:t>坚持近远结合、系统谋划，完善项目储备和生成机制，优化资金安排和筹措机制。探索创新金融机构信贷支持模式，鼓励社会资本进入，建立合理的成本分担机制，优化用地保障和审批机制。</w:t>
      </w:r>
    </w:p>
    <w:p w14:paraId="2C958AB0">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59" w:name="_Toc20068"/>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第三节 推动城市治理智慧化精细化</w:t>
      </w:r>
      <w:bookmarkEnd w:id="59"/>
    </w:p>
    <w:p w14:paraId="7FF647EB">
      <w:pPr>
        <w:spacing w:line="560" w:lineRule="exact"/>
        <w:ind w:firstLine="640"/>
        <w:rPr>
          <w:rFonts w:hint="default" w:ascii="Times New Roman" w:hAnsi="Times New Roman" w:cs="Times New Roman"/>
          <w:highlight w:val="none"/>
        </w:rPr>
      </w:pPr>
      <w:r>
        <w:rPr>
          <w:rFonts w:hint="default" w:ascii="Times New Roman" w:hAnsi="Times New Roman" w:cs="Times New Roman"/>
          <w:color w:val="000000" w:themeColor="text1"/>
          <w:highlight w:val="none"/>
          <w14:textFill>
            <w14:solidFill>
              <w14:schemeClr w14:val="tx1"/>
            </w14:solidFill>
          </w14:textFill>
        </w:rPr>
        <w:t>大力实施城市精细化治理两年提升行动，全面推动“规划—建设—管理”的全生命周期精细化管理路径，让城市治理既有“科技温度”也有“人文厚度”。</w:t>
      </w:r>
      <w:r>
        <w:rPr>
          <w:rFonts w:hint="default" w:ascii="Times New Roman" w:hAnsi="Times New Roman" w:cs="Times New Roman"/>
          <w:b/>
          <w:bCs/>
          <w:color w:val="000000" w:themeColor="text1"/>
          <w:highlight w:val="none"/>
          <w14:textFill>
            <w14:solidFill>
              <w14:schemeClr w14:val="tx1"/>
            </w14:solidFill>
          </w14:textFill>
        </w:rPr>
        <w:t>加快建设智慧城市，</w:t>
      </w:r>
      <w:r>
        <w:rPr>
          <w:rFonts w:hint="default" w:ascii="Times New Roman" w:hAnsi="Times New Roman" w:cs="Times New Roman"/>
          <w:highlight w:val="none"/>
        </w:rPr>
        <w:t>建设城市可信数据空间，</w:t>
      </w:r>
      <w:r>
        <w:rPr>
          <w:rFonts w:hint="default" w:ascii="Times New Roman" w:hAnsi="Times New Roman" w:cs="Times New Roman"/>
          <w:color w:val="000000" w:themeColor="text1"/>
          <w:highlight w:val="none"/>
          <w14:textFill>
            <w14:solidFill>
              <w14:schemeClr w14:val="tx1"/>
            </w14:solidFill>
          </w14:textFill>
        </w:rPr>
        <w:t>打造集约统一、数据融合、高效协同的城市数字底座，</w:t>
      </w:r>
      <w:r>
        <w:rPr>
          <w:rFonts w:hint="default" w:ascii="Times New Roman" w:hAnsi="Times New Roman" w:cs="Times New Roman"/>
          <w:szCs w:val="32"/>
          <w:highlight w:val="none"/>
        </w:rPr>
        <w:t>推进智能安防单元建设</w:t>
      </w:r>
      <w:r>
        <w:rPr>
          <w:rFonts w:hint="default" w:ascii="Times New Roman" w:hAnsi="Times New Roman" w:cs="Times New Roman"/>
          <w:highlight w:val="none"/>
        </w:rPr>
        <w:t>，</w:t>
      </w:r>
      <w:r>
        <w:rPr>
          <w:rFonts w:hint="default" w:ascii="Times New Roman" w:hAnsi="Times New Roman" w:cs="Times New Roman"/>
          <w:color w:val="000000" w:themeColor="text1"/>
          <w:highlight w:val="none"/>
          <w14:textFill>
            <w14:solidFill>
              <w14:schemeClr w14:val="tx1"/>
            </w14:solidFill>
          </w14:textFill>
        </w:rPr>
        <w:t>完善城市信息模型（CIM）平台；整合市政、应急、环保、城管等多领域数据资源，推动“一网通办、一网统管、</w:t>
      </w:r>
      <w:r>
        <w:rPr>
          <w:rFonts w:hint="default" w:ascii="Times New Roman" w:hAnsi="Times New Roman" w:cs="Times New Roman"/>
          <w:highlight w:val="none"/>
        </w:rPr>
        <w:t>数据共享</w:t>
      </w:r>
      <w:r>
        <w:rPr>
          <w:rFonts w:hint="default" w:ascii="Times New Roman" w:hAnsi="Times New Roman" w:cs="Times New Roman"/>
          <w:color w:val="000000" w:themeColor="text1"/>
          <w:highlight w:val="none"/>
          <w14:textFill>
            <w14:solidFill>
              <w14:schemeClr w14:val="tx1"/>
            </w14:solidFill>
          </w14:textFill>
        </w:rPr>
        <w:t>”，实时监测交通、水电、环卫、安全等运行状态，实现问题实时感知与高效处置。</w:t>
      </w:r>
      <w:r>
        <w:rPr>
          <w:rFonts w:hint="default" w:ascii="Times New Roman" w:hAnsi="Times New Roman" w:cs="Times New Roman"/>
          <w:b/>
          <w:bCs/>
          <w:color w:val="000000" w:themeColor="text1"/>
          <w:highlight w:val="none"/>
          <w14:textFill>
            <w14:solidFill>
              <w14:schemeClr w14:val="tx1"/>
            </w14:solidFill>
          </w14:textFill>
        </w:rPr>
        <w:t>推动城市精细化管理</w:t>
      </w:r>
      <w:r>
        <w:rPr>
          <w:rFonts w:hint="default" w:ascii="Times New Roman" w:hAnsi="Times New Roman" w:cs="Times New Roman"/>
          <w:color w:val="000000" w:themeColor="text1"/>
          <w:highlight w:val="none"/>
          <w14:textFill>
            <w14:solidFill>
              <w14:schemeClr w14:val="tx1"/>
            </w14:solidFill>
          </w14:textFill>
        </w:rPr>
        <w:t>，围绕群众急难愁盼和城市短板弱项“问诊把脉”，落实街长制与网格化管理，推进小微公共空间与背街小巷整治，强化“门前三包”，整治占道经营、乱停乱放等乱象，完善便民市场。推进城市管理进社区、物业服务进家庭，推行政务服务“一网通办”、城市运行“一网统管”，不断提高城市治理科学化、精细化、智能化水平。</w:t>
      </w:r>
      <w:r>
        <w:rPr>
          <w:rFonts w:hint="default" w:ascii="Times New Roman" w:hAnsi="Times New Roman" w:cs="Times New Roman"/>
          <w:highlight w:val="none"/>
        </w:rPr>
        <w:t>强化社会治安整体防控，健全社会安全稳定风险监测预警机制。</w:t>
      </w:r>
      <w:r>
        <w:rPr>
          <w:rFonts w:hint="default" w:ascii="Times New Roman" w:hAnsi="Times New Roman" w:cs="Times New Roman"/>
          <w:b/>
          <w:bCs/>
          <w:color w:val="000000" w:themeColor="text1"/>
          <w:highlight w:val="none"/>
          <w14:textFill>
            <w14:solidFill>
              <w14:schemeClr w14:val="tx1"/>
            </w14:solidFill>
          </w14:textFill>
        </w:rPr>
        <w:t>巩固扩大环卫作业市场化成果</w:t>
      </w:r>
      <w:r>
        <w:rPr>
          <w:rFonts w:hint="default" w:ascii="Times New Roman" w:hAnsi="Times New Roman" w:cs="Times New Roman"/>
          <w:color w:val="000000" w:themeColor="text1"/>
          <w:highlight w:val="none"/>
          <w14:textFill>
            <w14:solidFill>
              <w14:schemeClr w14:val="tx1"/>
            </w14:solidFill>
          </w14:textFill>
        </w:rPr>
        <w:t>，推动城乡环卫一体化，补齐城边村、城乡接合部和农村保洁短板，健全垃圾分类全链条体系，完善城乡垃圾分类投放、收集、运输、处理体系，提高垃圾处理的减量化、资源化、无害化水平。深化环境卫生综合治理，以精细化作业为核心，构建全方位、多层次的治理体系，强化重点区域监管，建立健全长效管理机制。</w:t>
      </w:r>
      <w:r>
        <w:rPr>
          <w:rFonts w:hint="default" w:ascii="Times New Roman" w:hAnsi="Times New Roman" w:cs="Times New Roman"/>
          <w:b/>
          <w:bCs/>
          <w:color w:val="000000" w:themeColor="text1"/>
          <w:highlight w:val="none"/>
          <w14:textFill>
            <w14:solidFill>
              <w14:schemeClr w14:val="tx1"/>
            </w14:solidFill>
          </w14:textFill>
        </w:rPr>
        <w:t>优化城市经营机制，</w:t>
      </w:r>
      <w:r>
        <w:rPr>
          <w:rFonts w:hint="default" w:ascii="Times New Roman" w:hAnsi="Times New Roman" w:cs="Times New Roman"/>
          <w:color w:val="000000" w:themeColor="text1"/>
          <w:highlight w:val="none"/>
          <w14:textFill>
            <w14:solidFill>
              <w14:schemeClr w14:val="tx1"/>
            </w14:solidFill>
          </w14:textFill>
        </w:rPr>
        <w:t>建立闲置资源数据库与资源对接平台，制定资源交易规则，促进企业、社会组织、居民等主体的供需精准对接，保障资源流转合规性与高效性，实现闲置资源从“静态存量”向“动态增值资产”的转化；促进经营效益和民生福祉相结合，补齐教育、医疗、养老等公共服务短板，以民生改善提升城市吸引力，吸引更多人才、资本参与城市经营。</w:t>
      </w:r>
    </w:p>
    <w:p w14:paraId="2631F53D">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60" w:name="_Toc8865"/>
      <w:r>
        <w:rPr>
          <w:rFonts w:hint="default" w:ascii="Times New Roman" w:hAnsi="Times New Roman" w:eastAsia="方正楷体_GBK" w:cs="Times New Roman"/>
          <w:b/>
          <w:bCs/>
          <w:color w:val="000000" w:themeColor="text1"/>
          <w:szCs w:val="32"/>
          <w:highlight w:val="none"/>
          <w14:textFill>
            <w14:solidFill>
              <w14:schemeClr w14:val="tx1"/>
            </w14:solidFill>
          </w14:textFill>
        </w:rPr>
        <w:t>第四节 推进宜居宜业和美乡村建设</w:t>
      </w:r>
      <w:bookmarkEnd w:id="60"/>
    </w:p>
    <w:p w14:paraId="6599EA2B">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深入学习运用“千万工程”经验，以片区为单元因地制宜完善乡村建设实施机制，推进农村生态环境质量提升、农业绿色低碳转型、居民生活品质改善，优化</w:t>
      </w:r>
      <w:r>
        <w:rPr>
          <w:rFonts w:hint="default" w:ascii="Times New Roman" w:hAnsi="Times New Roman" w:cs="Times New Roman"/>
          <w:color w:val="000000" w:themeColor="text1"/>
          <w:highlight w:val="none"/>
          <w:lang w:bidi="ar"/>
          <w14:textFill>
            <w14:solidFill>
              <w14:schemeClr w14:val="tx1"/>
            </w14:solidFill>
          </w14:textFill>
        </w:rPr>
        <w:t>乡镇嘎查村</w:t>
      </w:r>
      <w:r>
        <w:rPr>
          <w:rFonts w:hint="default" w:ascii="Times New Roman" w:hAnsi="Times New Roman" w:cs="Times New Roman"/>
          <w:color w:val="000000" w:themeColor="text1"/>
          <w:highlight w:val="none"/>
          <w14:textFill>
            <w14:solidFill>
              <w14:schemeClr w14:val="tx1"/>
            </w14:solidFill>
          </w14:textFill>
        </w:rPr>
        <w:t>布局、产业结构、公共服务配置，建成一批宜居宜业和美乡村。</w:t>
      </w:r>
      <w:r>
        <w:rPr>
          <w:rFonts w:hint="default" w:ascii="Times New Roman" w:hAnsi="Times New Roman" w:cs="Times New Roman"/>
          <w:b/>
          <w:bCs/>
          <w:color w:val="000000" w:themeColor="text1"/>
          <w:highlight w:val="none"/>
          <w14:textFill>
            <w14:solidFill>
              <w14:schemeClr w14:val="tx1"/>
            </w14:solidFill>
          </w14:textFill>
        </w:rPr>
        <w:t>持续巩固拓展脱贫攻坚成果，</w:t>
      </w:r>
      <w:r>
        <w:rPr>
          <w:rFonts w:hint="default" w:ascii="Times New Roman" w:hAnsi="Times New Roman" w:cs="Times New Roman"/>
          <w:color w:val="000000" w:themeColor="text1"/>
          <w:highlight w:val="none"/>
          <w14:textFill>
            <w14:solidFill>
              <w14:schemeClr w14:val="tx1"/>
            </w14:solidFill>
          </w14:textFill>
        </w:rPr>
        <w:t>切实做好巩固拓展脱贫攻坚成果同乡村振兴有效衔接，千方百计促进农牧民增收，不断提高农牧民生活水平；加强防返贫动态监测与精准帮扶，坚决守住不发生规模性返贫底线；</w:t>
      </w:r>
      <w:r>
        <w:rPr>
          <w:rFonts w:hint="default" w:ascii="Times New Roman" w:hAnsi="Times New Roman" w:cs="Times New Roman"/>
          <w:highlight w:val="none"/>
        </w:rPr>
        <w:t>坚持兜底保障和开发式帮扶并行，</w:t>
      </w:r>
      <w:r>
        <w:rPr>
          <w:rFonts w:hint="default" w:ascii="Times New Roman" w:hAnsi="Times New Roman" w:cs="Times New Roman"/>
          <w:color w:val="000000" w:themeColor="text1"/>
          <w:highlight w:val="none"/>
          <w14:textFill>
            <w14:solidFill>
              <w14:schemeClr w14:val="tx1"/>
            </w14:solidFill>
          </w14:textFill>
        </w:rPr>
        <w:t>提升帮扶质效，健全帮扶项目联农带农机制，推动项目资产管理提质增效。</w:t>
      </w:r>
      <w:r>
        <w:rPr>
          <w:rFonts w:hint="default" w:ascii="Times New Roman" w:hAnsi="Times New Roman" w:cs="Times New Roman"/>
          <w:b/>
          <w:bCs/>
          <w:color w:val="000000" w:themeColor="text1"/>
          <w:highlight w:val="none"/>
          <w14:textFill>
            <w14:solidFill>
              <w14:schemeClr w14:val="tx1"/>
            </w14:solidFill>
          </w14:textFill>
        </w:rPr>
        <w:t>持续推动乡村基础设施提档升级，</w:t>
      </w:r>
      <w:r>
        <w:rPr>
          <w:rFonts w:hint="default" w:ascii="Times New Roman" w:hAnsi="Times New Roman" w:cs="Times New Roman"/>
          <w:color w:val="000000" w:themeColor="text1"/>
          <w:highlight w:val="none"/>
          <w14:textFill>
            <w14:solidFill>
              <w14:schemeClr w14:val="tx1"/>
            </w14:solidFill>
          </w14:textFill>
        </w:rPr>
        <w:t>深入推进农村人居环境整治，统筹农村污水治理和厕所革命相衔接，稳步有序实现城乡环卫一体化；新建改建乡村道路和配套设施，提升乡村地区可达性；实施饮水安全巩固工程，推动城边村接入城市自来水管网和集中供水改扩建工程，形成“建大、并中、减小”的供水新格局；有序开展农村生活污水治理；统筹推进农村生活垃圾、农业源、工业源等污染治理，系统预防农村黑臭水体问题出现。完善农田水利设施，改善乡村生态环境，升级农村电网，推广太阳能、生物质能等绿色清洁能源，加快5G基站、光纤网络建设，实现农村地区宽带网络全覆盖、通信信号无盲区。</w:t>
      </w:r>
      <w:r>
        <w:rPr>
          <w:rFonts w:hint="default" w:ascii="Times New Roman" w:hAnsi="Times New Roman" w:cs="Times New Roman"/>
          <w:b/>
          <w:bCs/>
          <w:color w:val="000000" w:themeColor="text1"/>
          <w:highlight w:val="none"/>
          <w14:textFill>
            <w14:solidFill>
              <w14:schemeClr w14:val="tx1"/>
            </w14:solidFill>
          </w14:textFill>
        </w:rPr>
        <w:t>持续强化乡村组织建设，</w:t>
      </w:r>
      <w:r>
        <w:rPr>
          <w:rFonts w:hint="default" w:ascii="Times New Roman" w:hAnsi="Times New Roman" w:cs="Times New Roman"/>
          <w:color w:val="000000" w:themeColor="text1"/>
          <w:highlight w:val="none"/>
          <w14:textFill>
            <w14:solidFill>
              <w14:schemeClr w14:val="tx1"/>
            </w14:solidFill>
          </w14:textFill>
        </w:rPr>
        <w:t>加强农村基层党组织带头人队伍建设，积极培养致力于乡村振兴事业的年轻人才，优化村“两委”班子建设，培养乡村振兴人才，注重对农村基层党组织带头人队伍的管理与培训，全面提高干部能力；建立健全协商议事平台，聚焦主题一事一议，解决村民急难愁盼问题。</w:t>
      </w:r>
      <w:r>
        <w:rPr>
          <w:rFonts w:hint="default" w:ascii="Times New Roman" w:hAnsi="Times New Roman" w:cs="Times New Roman"/>
          <w:b/>
          <w:bCs/>
          <w:color w:val="000000" w:themeColor="text1"/>
          <w:highlight w:val="none"/>
          <w14:textFill>
            <w14:solidFill>
              <w14:schemeClr w14:val="tx1"/>
            </w14:solidFill>
          </w14:textFill>
        </w:rPr>
        <w:t>持续强化乡风文明建设，</w:t>
      </w:r>
      <w:r>
        <w:rPr>
          <w:rFonts w:hint="default" w:ascii="Times New Roman" w:hAnsi="Times New Roman" w:cs="Times New Roman"/>
          <w:color w:val="000000" w:themeColor="text1"/>
          <w:highlight w:val="none"/>
          <w14:textFill>
            <w14:solidFill>
              <w14:schemeClr w14:val="tx1"/>
            </w14:solidFill>
          </w14:textFill>
        </w:rPr>
        <w:t>探索建立多部门协同推进机制，发挥村规民约作用，弘扬传统文化，倡导乡村新生活新风尚；建立“村党支部+调解委员会”的二级乡村矛盾协调机制，通过村民议事制度化解矛盾，维护乡村和谐；深入挖掘民俗风情、传统技艺等资源，修缮文化载体，开展节庆活动，传承乡土文化，深入推进移风易俗，遏制陈规陋习蔓延势头，减轻农民人情和经济负担。</w:t>
      </w:r>
      <w:r>
        <w:rPr>
          <w:rFonts w:hint="default" w:ascii="Times New Roman" w:hAnsi="Times New Roman" w:cs="Times New Roman"/>
          <w:b/>
          <w:bCs/>
          <w:color w:val="000000" w:themeColor="text1"/>
          <w:highlight w:val="none"/>
          <w14:textFill>
            <w14:solidFill>
              <w14:schemeClr w14:val="tx1"/>
            </w14:solidFill>
          </w14:textFill>
        </w:rPr>
        <w:t>持续推动文化传承保护，</w:t>
      </w:r>
      <w:r>
        <w:rPr>
          <w:rFonts w:hint="default" w:ascii="Times New Roman" w:hAnsi="Times New Roman" w:cs="Times New Roman"/>
          <w:color w:val="000000" w:themeColor="text1"/>
          <w:highlight w:val="none"/>
          <w14:textFill>
            <w14:solidFill>
              <w14:schemeClr w14:val="tx1"/>
            </w14:solidFill>
          </w14:textFill>
        </w:rPr>
        <w:t>系统梳理民俗、技艺、古建筑等资源，建立分类清晰、内容翔实的文化资源名录。塑造地方文化品牌，结合地域特色提炼文化符号，增强农耕文化影响力和认同感。鼓励利用数字技术进行沉浸式开发，深入挖掘乡村文化资源，开发一批以农事体验、非遗研学为主题的精品旅游线路，落实“一村一品牌”工作</w:t>
      </w:r>
      <w:r>
        <w:rPr>
          <w:rFonts w:hint="default" w:ascii="Times New Roman" w:hAnsi="Times New Roman" w:cs="Times New Roman"/>
          <w:color w:val="000000" w:themeColor="text1"/>
          <w:highlight w:val="none"/>
          <w:shd w:val="clear" w:color="auto" w:fill="FFFFFF"/>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推动非遗传承与乡村旅游融合发展。</w:t>
      </w:r>
    </w:p>
    <w:p w14:paraId="5CB9589F">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61" w:name="_Toc29102"/>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第五节 不断缩小城乡差距</w:t>
      </w:r>
      <w:bookmarkEnd w:id="61"/>
    </w:p>
    <w:p w14:paraId="4D89C645">
      <w:pPr>
        <w:spacing w:line="560" w:lineRule="exact"/>
        <w:ind w:firstLine="643"/>
        <w:rPr>
          <w:rStyle w:val="71"/>
          <w:rFonts w:hint="default" w:ascii="Times New Roman" w:hAnsi="Times New Roman" w:eastAsia="方正楷体_GBK"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加快推动农文旅深度融合</w:t>
      </w:r>
      <w:r>
        <w:rPr>
          <w:rFonts w:hint="default" w:ascii="Times New Roman" w:hAnsi="Times New Roman" w:cs="Times New Roman"/>
          <w:color w:val="000000" w:themeColor="text1"/>
          <w:highlight w:val="none"/>
          <w14:textFill>
            <w14:solidFill>
              <w14:schemeClr w14:val="tx1"/>
            </w14:solidFill>
          </w14:textFill>
        </w:rPr>
        <w:t>，推动以农促旅，以旅强农，申报中国美丽休闲乡村、自治区美丽休闲乡村，大力发展肉制品、乳制品、休闲方便食品等精深加工就地加工转化，促进一二三产业融合发展，培育壮大乡村特色产业，完善联农带农机制，促进农民稳定增收。</w:t>
      </w:r>
      <w:r>
        <w:rPr>
          <w:rFonts w:hint="default" w:ascii="Times New Roman" w:hAnsi="Times New Roman" w:cs="Times New Roman"/>
          <w:b/>
          <w:bCs/>
          <w:color w:val="000000" w:themeColor="text1"/>
          <w:highlight w:val="none"/>
          <w14:textFill>
            <w14:solidFill>
              <w14:schemeClr w14:val="tx1"/>
            </w14:solidFill>
          </w14:textFill>
        </w:rPr>
        <w:t>推动城乡要素双向流动</w:t>
      </w:r>
      <w:r>
        <w:rPr>
          <w:rFonts w:hint="default" w:ascii="Times New Roman" w:hAnsi="Times New Roman" w:cs="Times New Roman"/>
          <w:color w:val="000000" w:themeColor="text1"/>
          <w:highlight w:val="none"/>
          <w14:textFill>
            <w14:solidFill>
              <w14:schemeClr w14:val="tx1"/>
            </w14:solidFill>
          </w14:textFill>
        </w:rPr>
        <w:t>，支持基础设施与特色产业发展，鼓励引导金融机构和社会资本参与农村基础设施建设和产业项目开发，建立和深化“一对一”技术服务帮扶机制，推广应用智慧、绿色农业技术，开展“本土人才培育计划”，做好乡村人才培养、引进、使用、流动、激励工作，不断推动产教融合、校企合作，持续培养与提升乡村人才综合素质，激励各类人才下乡服务和创业就业，对高校毕业生（含大学生村官和留学归国人员）、返乡创业农民工和农村自主创业农民给予创业担保贷款贴息等支持，打造一支懂农业、爱农村、爱农民的人才队伍。</w:t>
      </w:r>
      <w:r>
        <w:rPr>
          <w:rFonts w:hint="default" w:ascii="Times New Roman" w:hAnsi="Times New Roman" w:cs="Times New Roman"/>
          <w:b/>
          <w:bCs/>
          <w:color w:val="000000" w:themeColor="text1"/>
          <w:highlight w:val="none"/>
          <w14:textFill>
            <w14:solidFill>
              <w14:schemeClr w14:val="tx1"/>
            </w14:solidFill>
          </w14:textFill>
        </w:rPr>
        <w:t>促进城乡产业链价值链互补互通，</w:t>
      </w:r>
      <w:r>
        <w:rPr>
          <w:rFonts w:hint="default" w:ascii="Times New Roman" w:hAnsi="Times New Roman" w:cs="Times New Roman"/>
          <w:color w:val="000000" w:themeColor="text1"/>
          <w:highlight w:val="none"/>
          <w14:textFill>
            <w14:solidFill>
              <w14:schemeClr w14:val="tx1"/>
            </w14:solidFill>
          </w14:textFill>
        </w:rPr>
        <w:t>建立“龙头企业+合作社+农户”联合体，发展农产品加工、冷链物流与乡村旅游，鼓励家庭农场与城市企业建立紧密的利益联结机制，建立农产品质量追溯体系，加强品牌建设，提高农产品市场竞争力。</w:t>
      </w:r>
      <w:r>
        <w:rPr>
          <w:rFonts w:hint="default" w:ascii="Times New Roman" w:hAnsi="Times New Roman" w:cs="Times New Roman"/>
          <w:b/>
          <w:bCs/>
          <w:color w:val="000000" w:themeColor="text1"/>
          <w:highlight w:val="none"/>
          <w14:textFill>
            <w14:solidFill>
              <w14:schemeClr w14:val="tx1"/>
            </w14:solidFill>
          </w14:textFill>
        </w:rPr>
        <w:t>推进城乡基本公共服务均等化，</w:t>
      </w:r>
      <w:r>
        <w:rPr>
          <w:rFonts w:hint="default" w:ascii="Times New Roman" w:hAnsi="Times New Roman" w:cs="Times New Roman"/>
          <w:color w:val="000000" w:themeColor="text1"/>
          <w:highlight w:val="none"/>
          <w14:textFill>
            <w14:solidFill>
              <w14:schemeClr w14:val="tx1"/>
            </w14:solidFill>
          </w14:textFill>
        </w:rPr>
        <w:t>推动优质医疗资源下沉，加强农村卫生院标准化建设，落实城乡居民基本医疗保险制度，规范医保定点医药机构服务行为；积极拓展城乡新型公共文化空间，加快构建功能完善、便捷高效的公共文化服务圈，推进农村公共文化服务设施建设，配套建设文化广场、农家书屋、非遗展示室等设施；加强农村养老与救助设施建设，建立健全农村社会救助体系，加大对农村特困人员等困难群体的救助力度。</w:t>
      </w:r>
    </w:p>
    <w:p w14:paraId="39881E3B">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62" w:name="_Toc15276"/>
      <w:r>
        <w:rPr>
          <w:rFonts w:hint="default" w:ascii="Times New Roman" w:hAnsi="Times New Roman" w:eastAsia="方正楷体_GBK" w:cs="Times New Roman"/>
          <w:b/>
          <w:bCs/>
          <w:color w:val="000000" w:themeColor="text1"/>
          <w:szCs w:val="32"/>
          <w:highlight w:val="none"/>
          <w14:textFill>
            <w14:solidFill>
              <w14:schemeClr w14:val="tx1"/>
            </w14:solidFill>
          </w14:textFill>
        </w:rPr>
        <w:t>第六节 深化农村综合改革</w:t>
      </w:r>
      <w:bookmarkEnd w:id="62"/>
    </w:p>
    <w:p w14:paraId="35FC9D1E">
      <w:pPr>
        <w:spacing w:line="560" w:lineRule="exact"/>
        <w:ind w:firstLine="64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稳步推进土地承包延包试点</w:t>
      </w:r>
      <w:r>
        <w:rPr>
          <w:rFonts w:hint="default" w:ascii="Times New Roman" w:hAnsi="Times New Roman" w:cs="Times New Roman"/>
          <w:color w:val="000000" w:themeColor="text1"/>
          <w:highlight w:val="none"/>
          <w14:textFill>
            <w14:solidFill>
              <w14:schemeClr w14:val="tx1"/>
            </w14:solidFill>
          </w14:textFill>
        </w:rPr>
        <w:t>，妥善解决历史遗留问题，保障农民土地权益。</w:t>
      </w:r>
      <w:r>
        <w:rPr>
          <w:rFonts w:hint="default" w:ascii="Times New Roman" w:hAnsi="Times New Roman" w:cs="Times New Roman"/>
          <w:b/>
          <w:bCs/>
          <w:color w:val="000000" w:themeColor="text1"/>
          <w:highlight w:val="none"/>
          <w14:textFill>
            <w14:solidFill>
              <w14:schemeClr w14:val="tx1"/>
            </w14:solidFill>
          </w14:textFill>
        </w:rPr>
        <w:t>盘活闲置农房和宅基地</w:t>
      </w:r>
      <w:r>
        <w:rPr>
          <w:rFonts w:hint="default" w:ascii="Times New Roman" w:hAnsi="Times New Roman" w:cs="Times New Roman"/>
          <w:color w:val="000000" w:themeColor="text1"/>
          <w:highlight w:val="none"/>
          <w14:textFill>
            <w14:solidFill>
              <w14:schemeClr w14:val="tx1"/>
            </w14:solidFill>
          </w14:textFill>
        </w:rPr>
        <w:t>，通过明晰产权、政策引导等方式释放集体建设用地价值，推动农户以出租、合作等方式参与乡村旅游、民宿康养等新业态，激活农村沉睡资源，拓宽农民增收渠道，助力乡村产业多元化。</w:t>
      </w:r>
      <w:r>
        <w:rPr>
          <w:rFonts w:hint="default" w:ascii="Times New Roman" w:hAnsi="Times New Roman" w:cs="Times New Roman"/>
          <w:b/>
          <w:bCs/>
          <w:color w:val="000000" w:themeColor="text1"/>
          <w:highlight w:val="none"/>
          <w14:textFill>
            <w14:solidFill>
              <w14:schemeClr w14:val="tx1"/>
            </w14:solidFill>
          </w14:textFill>
        </w:rPr>
        <w:t>健全土地经营权流转体系</w:t>
      </w:r>
      <w:r>
        <w:rPr>
          <w:rFonts w:hint="default" w:ascii="Times New Roman" w:hAnsi="Times New Roman" w:cs="Times New Roman"/>
          <w:color w:val="000000" w:themeColor="text1"/>
          <w:highlight w:val="none"/>
          <w14:textFill>
            <w14:solidFill>
              <w14:schemeClr w14:val="tx1"/>
            </w14:solidFill>
          </w14:textFill>
        </w:rPr>
        <w:t>，推动耕地整合，加强流转市场监管，引导耕地向专业大户、家庭农场、农民合作社等新型经营主体集中，发展新型农村集体经济，提高土地利用效率。探索河滩地流转与高效利用新模式。</w:t>
      </w:r>
      <w:r>
        <w:rPr>
          <w:rFonts w:hint="default" w:ascii="Times New Roman" w:hAnsi="Times New Roman" w:cs="Times New Roman"/>
          <w:b/>
          <w:bCs/>
          <w:color w:val="000000" w:themeColor="text1"/>
          <w:highlight w:val="none"/>
          <w14:textFill>
            <w14:solidFill>
              <w14:schemeClr w14:val="tx1"/>
            </w14:solidFill>
          </w14:textFill>
        </w:rPr>
        <w:t>有序推进农村集体经营性建设用地入市</w:t>
      </w:r>
      <w:r>
        <w:rPr>
          <w:rFonts w:hint="default" w:ascii="Times New Roman" w:hAnsi="Times New Roman" w:cs="Times New Roman"/>
          <w:color w:val="000000" w:themeColor="text1"/>
          <w:highlight w:val="none"/>
          <w14:textFill>
            <w14:solidFill>
              <w14:schemeClr w14:val="tx1"/>
            </w14:solidFill>
          </w14:textFill>
        </w:rPr>
        <w:t>，完善入市交易规则与收益分配机制，确保集体收益更多惠及村民，为乡村建设注入资金活水。</w:t>
      </w:r>
      <w:r>
        <w:rPr>
          <w:rFonts w:hint="default" w:ascii="Times New Roman" w:hAnsi="Times New Roman" w:cs="Times New Roman"/>
          <w:b/>
          <w:bCs/>
          <w:color w:val="000000" w:themeColor="text1"/>
          <w:highlight w:val="none"/>
          <w14:textFill>
            <w14:solidFill>
              <w14:schemeClr w14:val="tx1"/>
            </w14:solidFill>
          </w14:textFill>
        </w:rPr>
        <w:t>深化集体林权制度改革</w:t>
      </w:r>
      <w:r>
        <w:rPr>
          <w:rFonts w:hint="default" w:ascii="Times New Roman" w:hAnsi="Times New Roman" w:cs="Times New Roman"/>
          <w:color w:val="000000" w:themeColor="text1"/>
          <w:highlight w:val="none"/>
          <w14:textFill>
            <w14:solidFill>
              <w14:schemeClr w14:val="tx1"/>
            </w14:solidFill>
          </w14:textFill>
        </w:rPr>
        <w:t>，巩固林权确权成果，完善林权流转、抵押融资等配套政策，鼓励林下经济与林业多元融合，释放林业发展潜力。</w:t>
      </w:r>
    </w:p>
    <w:p w14:paraId="0984444F">
      <w:pPr>
        <w:spacing w:line="560" w:lineRule="exact"/>
        <w:ind w:firstLine="0" w:firstLineChars="0"/>
        <w:jc w:val="center"/>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63" w:name="_Toc10484"/>
      <w:r>
        <w:rPr>
          <w:rFonts w:hint="default" w:ascii="Times New Roman" w:hAnsi="Times New Roman" w:eastAsia="黑体" w:cs="Times New Roman"/>
          <w:color w:val="000000" w:themeColor="text1"/>
          <w:szCs w:val="32"/>
          <w:highlight w:val="none"/>
          <w14:textFill>
            <w14:solidFill>
              <w14:schemeClr w14:val="tx1"/>
            </w14:solidFill>
          </w14:textFill>
        </w:rPr>
        <w:t>第九章 坚持以人民为中心，不断增进民生福祉</w:t>
      </w:r>
      <w:bookmarkEnd w:id="63"/>
    </w:p>
    <w:p w14:paraId="752A97A0">
      <w:pPr>
        <w:spacing w:line="560" w:lineRule="exact"/>
        <w:ind w:firstLine="640"/>
        <w:rPr>
          <w:rStyle w:val="71"/>
          <w:rFonts w:hint="default" w:ascii="Times New Roman" w:hAnsi="Times New Roman" w:eastAsia="方正楷体_GBK" w:cs="Times New Roman"/>
          <w:b/>
          <w:bCs/>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始终把实现好、维护好、发展好最广大人民根本利益作为发展的出发点和落脚点，坚持尽力而为、量力而行，加强普惠性、基础性、兜底性民生建设，稳步推进基本公共服务均等化，解决好人民群众急难愁盼问题，让现代化建设成果</w:t>
      </w:r>
      <w:r>
        <w:rPr>
          <w:rFonts w:hint="eastAsia" w:cs="Times New Roman"/>
          <w:color w:val="000000" w:themeColor="text1"/>
          <w:highlight w:val="none"/>
          <w:lang w:eastAsia="zh-CN"/>
          <w14:textFill>
            <w14:solidFill>
              <w14:schemeClr w14:val="tx1"/>
            </w14:solidFill>
          </w14:textFill>
        </w:rPr>
        <w:t>更多更公平惠及全体人民</w:t>
      </w:r>
      <w:r>
        <w:rPr>
          <w:rFonts w:hint="default" w:ascii="Times New Roman" w:hAnsi="Times New Roman" w:cs="Times New Roman"/>
          <w:color w:val="000000" w:themeColor="text1"/>
          <w:highlight w:val="none"/>
          <w14:textFill>
            <w14:solidFill>
              <w14:schemeClr w14:val="tx1"/>
            </w14:solidFill>
          </w14:textFill>
        </w:rPr>
        <w:t>，不断提升群众幸福感和满足感。</w:t>
      </w:r>
    </w:p>
    <w:p w14:paraId="7E07CB82">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64" w:name="_Toc27971"/>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第一节 促进高质量充分就业</w:t>
      </w:r>
      <w:bookmarkEnd w:id="64"/>
    </w:p>
    <w:p w14:paraId="0C173A22">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深入实施就业优先战略，健全就业促进机制，构建就业友好型发展方式，稳定和扩大高校毕业生、农牧民工、退役军人</w:t>
      </w:r>
      <w:bookmarkStart w:id="65" w:name="_Hlk215342793"/>
      <w:r>
        <w:rPr>
          <w:rFonts w:hint="default" w:ascii="Times New Roman" w:hAnsi="Times New Roman" w:cs="Times New Roman"/>
          <w:color w:val="000000" w:themeColor="text1"/>
          <w:highlight w:val="none"/>
          <w14:textFill>
            <w14:solidFill>
              <w14:schemeClr w14:val="tx1"/>
            </w14:solidFill>
          </w14:textFill>
        </w:rPr>
        <w:t>、灵活就业人员</w:t>
      </w:r>
      <w:bookmarkEnd w:id="65"/>
      <w:r>
        <w:rPr>
          <w:rFonts w:hint="default" w:ascii="Times New Roman" w:hAnsi="Times New Roman" w:cs="Times New Roman"/>
          <w:color w:val="000000" w:themeColor="text1"/>
          <w:highlight w:val="none"/>
          <w14:textFill>
            <w14:solidFill>
              <w14:schemeClr w14:val="tx1"/>
            </w14:solidFill>
          </w14:textFill>
        </w:rPr>
        <w:t>等重点群体就业，推动灵活就业、新就业形态健康发展，力争“十五五”期间新增城镇就业3.5万人。</w:t>
      </w:r>
      <w:r>
        <w:rPr>
          <w:rFonts w:hint="default" w:ascii="Times New Roman" w:hAnsi="Times New Roman" w:cs="Times New Roman"/>
          <w:b/>
          <w:bCs/>
          <w:color w:val="000000" w:themeColor="text1"/>
          <w:highlight w:val="non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健全终身职业技能培训制度，深入实施“技能照亮前程”培训行动，结合重点产业链和产业园区技能人才需求，发挥职业院校、民办培训机构、公共实训基地等培训载体作用，围绕康养托育、电子商务、现代服务等就业容量大、供需矛盾突出的行业领域培养技能人才。“十五五”期间完成职业技能培训0.9万人，技能人才总量突破9000人。</w:t>
      </w:r>
      <w:bookmarkStart w:id="66" w:name="_Hlk215343228"/>
      <w:r>
        <w:rPr>
          <w:rFonts w:hint="default" w:ascii="Times New Roman" w:hAnsi="Times New Roman" w:cs="Times New Roman"/>
          <w:color w:val="000000" w:themeColor="text1"/>
          <w:highlight w:val="none"/>
          <w14:textFill>
            <w14:solidFill>
              <w14:schemeClr w14:val="tx1"/>
            </w14:solidFill>
          </w14:textFill>
        </w:rPr>
        <w:t>强化劳动用工规范管理，依法保障劳动者合法权益</w:t>
      </w:r>
      <w:bookmarkEnd w:id="66"/>
      <w:r>
        <w:rPr>
          <w:rFonts w:hint="default" w:ascii="Times New Roman" w:hAnsi="Times New Roman" w:cs="Times New Roman"/>
          <w:color w:val="000000" w:themeColor="text1"/>
          <w:highlight w:val="none"/>
          <w14:textFill>
            <w14:solidFill>
              <w14:schemeClr w14:val="tx1"/>
            </w14:solidFill>
          </w14:textFill>
        </w:rPr>
        <w:t>，建设“家门口”的就业服务站和零工市场，打造“15分钟就业服务圈”，“十五五”期间实现街镇平台全覆盖。加大创业支持力度，增强创业带动就业效应，落实支持创业等政策，推进“创业一件事”集成办理。</w:t>
      </w:r>
    </w:p>
    <w:p w14:paraId="721DE039">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67" w:name="_Toc29200"/>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第二节 推进城乡居民增收</w:t>
      </w:r>
      <w:bookmarkEnd w:id="67"/>
    </w:p>
    <w:p w14:paraId="7F2FDB8C">
      <w:pPr>
        <w:spacing w:line="560" w:lineRule="exact"/>
        <w:ind w:firstLine="640"/>
        <w:rPr>
          <w:rStyle w:val="71"/>
          <w:rFonts w:hint="default" w:ascii="Times New Roman" w:hAnsi="Times New Roman" w:eastAsia="方正楷体_GBK" w:cs="Times New Roman"/>
          <w:color w:val="000000" w:themeColor="text1"/>
          <w:szCs w:val="32"/>
          <w:highlight w:val="none"/>
          <w14:textFill>
            <w14:solidFill>
              <w14:schemeClr w14:val="tx1"/>
            </w14:solidFill>
          </w14:textFill>
        </w:rPr>
      </w:pPr>
      <w:bookmarkStart w:id="68" w:name="_Toc210848572"/>
      <w:r>
        <w:rPr>
          <w:rFonts w:hint="default" w:ascii="Times New Roman" w:hAnsi="Times New Roman" w:cs="Times New Roman"/>
          <w:color w:val="000000" w:themeColor="text1"/>
          <w:highlight w:val="none"/>
          <w14:textFill>
            <w14:solidFill>
              <w14:schemeClr w14:val="tx1"/>
            </w14:solidFill>
          </w14:textFill>
        </w:rPr>
        <w:t>扩大实施以工代赈，健全工资合理增长、支付保障和最低工资标准调整机制，提高劳动报酬在初次分配中的比重，多渠道增加城乡居民收入特别是财产性收入，着力缩小收入分配差距，推动形成橄榄型分配格局。引导支持有意愿有能力的企业、社会组织和个人参与公益慈善事业。实施柔性引才与“人才强链”行动，深化产学研融合，完善评价与保障机制。共创和谐劳动关系，推行“释法加执法”模式，完善劳动争议调解仲裁机制，提升调解仲裁队伍专业化水平，推行“流动仲裁、预约仲裁、上门仲裁”服务模式，通过主动下沉服务，就地化解矛盾。优化劳动争议处理机制，以源头治理为目标，加强监察与执法，更好维护劳动者、农民工权益。发挥政府、司法、工会、企业等各方作用，健全基层调解组织和多级调解体系建设，“十五五”期间调解率进一步提升。</w:t>
      </w:r>
      <w:bookmarkEnd w:id="68"/>
    </w:p>
    <w:p w14:paraId="6A0678FA">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69" w:name="_Toc19439"/>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第三节 建设教育强区</w:t>
      </w:r>
      <w:bookmarkEnd w:id="69"/>
    </w:p>
    <w:p w14:paraId="155BF70C">
      <w:pPr>
        <w:spacing w:line="560" w:lineRule="exact"/>
        <w:ind w:firstLine="640"/>
        <w:rPr>
          <w:rStyle w:val="71"/>
          <w:rFonts w:hint="default" w:ascii="Times New Roman" w:hAnsi="Times New Roman" w:eastAsia="方正楷体_GBK"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以办好“老百姓满意的高质量东河教育”为目标，推动全区教育发展水平进入全市第一方阵前列，实现从“教育大区”向“教育强区”跨越。推动各学段质量全面提升，顺利完成学前教育普及普惠达标创建和义务教育优质均衡发展达标创建验收，力争学前教育普惠率、公办率和义务教育巩固率分别达96%、60%和98%。健全与人口变化相适应的基础教育资源统筹调配机制，建成3—5个新优质教育集团。逐步实施免费学前教育，拓展幼儿托育服务。推动义务教育优质均衡，试点“小班化”教学。推动高中教育特色多样，推广“2+4”创新人才贯通培养。深化“阳光招生”与“教育入学一件事”改革，严格保障教育公平。以教育家精神铸魂强师，加强教师待遇保障和师德师风建设，健全教师引进、培育与激励机制，推进“县管校聘”改革、教师职称评聘改革和绩效工资改革，力争区级以上名优教师占比超50%，正高级教师突破20人。全面落实中小学校党组织领导的校长负责制。推进智慧教育与品牌建设，建设2所立体式智慧校园试点。做强“新东河大思政”品牌，实施“百年名校”品牌创建，构建具有东河特色的新时代育人体系。</w:t>
      </w:r>
      <w:bookmarkStart w:id="70" w:name="_Hlk215343967"/>
      <w:r>
        <w:rPr>
          <w:rFonts w:hint="default" w:ascii="Times New Roman" w:hAnsi="Times New Roman" w:cs="Times New Roman"/>
          <w:color w:val="000000" w:themeColor="text1"/>
          <w:szCs w:val="32"/>
          <w:highlight w:val="none"/>
          <w14:textFill>
            <w14:solidFill>
              <w14:schemeClr w14:val="tx1"/>
            </w14:solidFill>
          </w14:textFill>
        </w:rPr>
        <w:t>强化校园“三防”建设与周边环境整治，落实法治教育与专门教育。强化家校社协同，</w:t>
      </w:r>
      <w:bookmarkEnd w:id="70"/>
      <w:r>
        <w:rPr>
          <w:rFonts w:hint="default" w:ascii="Times New Roman" w:hAnsi="Times New Roman" w:cs="Times New Roman"/>
          <w:color w:val="000000" w:themeColor="text1"/>
          <w:szCs w:val="32"/>
          <w:highlight w:val="none"/>
          <w14:textFill>
            <w14:solidFill>
              <w14:schemeClr w14:val="tx1"/>
            </w14:solidFill>
          </w14:textFill>
        </w:rPr>
        <w:t>完善“教联体”制度，</w:t>
      </w:r>
      <w:r>
        <w:rPr>
          <w:rFonts w:hint="default" w:ascii="Times New Roman" w:hAnsi="Times New Roman" w:cs="Times New Roman"/>
          <w:szCs w:val="32"/>
          <w:highlight w:val="none"/>
        </w:rPr>
        <w:t>健全心理健康危机干预机制，护航青少年健康成长</w:t>
      </w:r>
      <w:r>
        <w:rPr>
          <w:rFonts w:hint="default" w:ascii="Times New Roman" w:hAnsi="Times New Roman" w:cs="Times New Roman"/>
          <w:color w:val="000000" w:themeColor="text1"/>
          <w:szCs w:val="32"/>
          <w:highlight w:val="none"/>
          <w14:textFill>
            <w14:solidFill>
              <w14:schemeClr w14:val="tx1"/>
            </w14:solidFill>
          </w14:textFill>
        </w:rPr>
        <w:t>。落实健康第一的教育理念，优化“每天一节体育课、每天运动两小时”安排，确保学生体质健康达标优良率超60%。实施学校标准化建设，实现义务教育学校标准化全覆盖。进一步加强职业教育、特殊教育，引导规范民办教育，办好开放大学，构建多元供给的终身教育服务体系</w:t>
      </w:r>
      <w:r>
        <w:rPr>
          <w:rFonts w:hint="default" w:ascii="Times New Roman" w:hAnsi="Times New Roman" w:cs="Times New Roman"/>
          <w:highlight w:val="none"/>
        </w:rPr>
        <w:t>。</w:t>
      </w:r>
    </w:p>
    <w:p w14:paraId="0421543D">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71" w:name="_Toc11568"/>
      <w:r>
        <w:rPr>
          <w:rFonts w:hint="default" w:ascii="Times New Roman" w:hAnsi="Times New Roman" w:eastAsia="方正楷体_GBK" w:cs="Times New Roman"/>
          <w:b/>
          <w:bCs/>
          <w:color w:val="000000" w:themeColor="text1"/>
          <w:szCs w:val="32"/>
          <w:highlight w:val="none"/>
          <w14:textFill>
            <w14:solidFill>
              <w14:schemeClr w14:val="tx1"/>
            </w14:solidFill>
          </w14:textFill>
        </w:rPr>
        <w:t>第四节 做好群众家门口的医疗服务</w:t>
      </w:r>
      <w:bookmarkEnd w:id="71"/>
    </w:p>
    <w:p w14:paraId="0DA96993">
      <w:pPr>
        <w:spacing w:line="560" w:lineRule="exact"/>
        <w:ind w:firstLine="640"/>
        <w:rPr>
          <w:rStyle w:val="71"/>
          <w:rFonts w:hint="default" w:ascii="Times New Roman" w:hAnsi="Times New Roman" w:eastAsia="方正楷体_GBK"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构建优质高效医疗卫生服务体系，推动资源均衡布局与服务下沉，巩固紧密型城市医疗集团建设成果并打造自治区样板，通过落实分级诊疗制度、深化医联体建设、加强特色专科品牌化创建，持续推动基层医疗资源整合、管理模式创新与服务能力提升，加快形成“小病在社区、大病不出区、康复回社区”的就医格局，切实让群众在家门口享受到优质便捷的医疗卫生服务。“十五五”期间基层医疗机构100%达到基本能力标准，每千人口卫生技术人员数达13.</w:t>
      </w:r>
      <w:r>
        <w:rPr>
          <w:rFonts w:hint="eastAsia"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人，执业医师稳定在2500人，护士达3280人，医护比提高至1:1.31。</w:t>
      </w:r>
      <w:r>
        <w:rPr>
          <w:rFonts w:hint="default" w:ascii="Times New Roman" w:hAnsi="Times New Roman" w:cs="Times New Roman"/>
          <w:b/>
          <w:bCs/>
          <w:color w:val="000000" w:themeColor="text1"/>
          <w:highlight w:val="none"/>
          <w14:textFill>
            <w14:solidFill>
              <w14:schemeClr w14:val="tx1"/>
            </w14:solidFill>
          </w14:textFill>
        </w:rPr>
        <w:t>加强紧密型城市医疗集团建设，</w:t>
      </w:r>
      <w:r>
        <w:rPr>
          <w:rFonts w:hint="default" w:ascii="Times New Roman" w:hAnsi="Times New Roman" w:cs="Times New Roman"/>
          <w:color w:val="000000" w:themeColor="text1"/>
          <w:highlight w:val="none"/>
          <w14:textFill>
            <w14:solidFill>
              <w14:schemeClr w14:val="tx1"/>
            </w14:solidFill>
          </w14:textFill>
        </w:rPr>
        <w:t>持续巩固“1+1+N”紧密型城市医疗集团建设成果，以包头市中心医院为牵头，建立覆盖全区的医疗网格，推进分级诊疗，打造2–3个优势专科。</w:t>
      </w:r>
      <w:r>
        <w:rPr>
          <w:rFonts w:hint="default" w:ascii="Times New Roman" w:hAnsi="Times New Roman" w:cs="Times New Roman"/>
          <w:b/>
          <w:bCs/>
          <w:color w:val="000000" w:themeColor="text1"/>
          <w:highlight w:val="none"/>
          <w14:textFill>
            <w14:solidFill>
              <w14:schemeClr w14:val="tx1"/>
            </w14:solidFill>
          </w14:textFill>
        </w:rPr>
        <w:t>积极推进医疗资源优化整合，</w:t>
      </w:r>
      <w:r>
        <w:rPr>
          <w:rFonts w:hint="default" w:ascii="Times New Roman" w:hAnsi="Times New Roman" w:cs="Times New Roman"/>
          <w:color w:val="000000" w:themeColor="text1"/>
          <w:highlight w:val="none"/>
          <w14:textFill>
            <w14:solidFill>
              <w14:schemeClr w14:val="tx1"/>
            </w14:solidFill>
          </w14:textFill>
        </w:rPr>
        <w:t>实施区中医医院搬迁改建，支持二九一医院建成三级专科医院，提高医疗卫生服务能力，加大公立医疗卫生机构建设力度，加快优质医疗资源扩容和优化布局。</w:t>
      </w:r>
      <w:r>
        <w:rPr>
          <w:rFonts w:hint="default" w:ascii="Times New Roman" w:hAnsi="Times New Roman" w:cs="Times New Roman"/>
          <w:b/>
          <w:bCs/>
          <w:color w:val="000000" w:themeColor="text1"/>
          <w:highlight w:val="none"/>
          <w14:textFill>
            <w14:solidFill>
              <w14:schemeClr w14:val="tx1"/>
            </w14:solidFill>
          </w14:textFill>
        </w:rPr>
        <w:t>推动基本公共卫生服务提质，</w:t>
      </w:r>
      <w:r>
        <w:rPr>
          <w:rFonts w:hint="default" w:ascii="Times New Roman" w:hAnsi="Times New Roman" w:cs="Times New Roman"/>
          <w:color w:val="000000" w:themeColor="text1"/>
          <w:highlight w:val="none"/>
          <w14:textFill>
            <w14:solidFill>
              <w14:schemeClr w14:val="tx1"/>
            </w14:solidFill>
          </w14:textFill>
        </w:rPr>
        <w:t>建成15分钟服务圈，提升慢性病防治与常见病诊疗能力，巩固提升地方病防治能力，2026年全部基层机构达到国家基本标准</w:t>
      </w:r>
      <w:bookmarkStart w:id="72" w:name="_Hlk215344642"/>
      <w:r>
        <w:rPr>
          <w:rFonts w:hint="default" w:ascii="Times New Roman" w:hAnsi="Times New Roman" w:cs="Times New Roman"/>
          <w:color w:val="000000" w:themeColor="text1"/>
          <w:highlight w:val="none"/>
          <w14:textFill>
            <w14:solidFill>
              <w14:schemeClr w14:val="tx1"/>
            </w14:solidFill>
          </w14:textFill>
        </w:rPr>
        <w:t>。完善医防协同、平急结合的疾病预防控制体系，全面提升疾病防控水平与突发公共卫生事件监测预警、风险评估及应急处置效能</w:t>
      </w:r>
      <w:r>
        <w:rPr>
          <w:rFonts w:hint="default" w:ascii="Times New Roman" w:hAnsi="Times New Roman" w:cs="Times New Roman"/>
          <w:b/>
          <w:bCs/>
          <w:color w:val="000000" w:themeColor="text1"/>
          <w:highlight w:val="none"/>
          <w14:textFill>
            <w14:solidFill>
              <w14:schemeClr w14:val="tx1"/>
            </w14:solidFill>
          </w14:textFill>
        </w:rPr>
        <w:t>。</w:t>
      </w:r>
      <w:bookmarkEnd w:id="72"/>
      <w:r>
        <w:rPr>
          <w:rFonts w:hint="default" w:ascii="Times New Roman" w:hAnsi="Times New Roman" w:cs="Times New Roman"/>
          <w:color w:val="000000" w:themeColor="text1"/>
          <w:highlight w:val="none"/>
          <w14:textFill>
            <w14:solidFill>
              <w14:schemeClr w14:val="tx1"/>
            </w14:solidFill>
          </w14:textFill>
        </w:rPr>
        <w:t>推进从治已病到治未病的转变，建立慢性病全程健康管理机制。建设健康大数据中心，构建数据驱动的全链条服务体系，引进低成本先进诊疗技术，形成“数据采集－智能分析－精准干预–健康管理”的全链条服务体系，实现从疾病治疗向健康管理转型。</w:t>
      </w:r>
      <w:r>
        <w:rPr>
          <w:rFonts w:hint="default" w:ascii="Times New Roman" w:hAnsi="Times New Roman" w:cs="Times New Roman"/>
          <w:b/>
          <w:bCs/>
          <w:color w:val="000000" w:themeColor="text1"/>
          <w:highlight w:val="none"/>
          <w14:textFill>
            <w14:solidFill>
              <w14:schemeClr w14:val="tx1"/>
            </w14:solidFill>
          </w14:textFill>
        </w:rPr>
        <w:t>构建普惠安全的托育服务体系，</w:t>
      </w:r>
      <w:r>
        <w:rPr>
          <w:rFonts w:hint="default" w:ascii="Times New Roman" w:hAnsi="Times New Roman" w:cs="Times New Roman"/>
          <w:color w:val="000000" w:themeColor="text1"/>
          <w:highlight w:val="none"/>
          <w14:textFill>
            <w14:solidFill>
              <w14:schemeClr w14:val="tx1"/>
            </w14:solidFill>
          </w14:textFill>
        </w:rPr>
        <w:t>发展托幼一体与社区嵌入式服务，持续保障3岁以下婴幼儿托位，到2030年普惠托育体系基本建立。</w:t>
      </w:r>
      <w:r>
        <w:rPr>
          <w:rFonts w:hint="default" w:ascii="Times New Roman" w:hAnsi="Times New Roman" w:cs="Times New Roman"/>
          <w:b/>
          <w:bCs/>
          <w:color w:val="000000" w:themeColor="text1"/>
          <w:highlight w:val="none"/>
          <w14:textFill>
            <w14:solidFill>
              <w14:schemeClr w14:val="tx1"/>
            </w14:solidFill>
          </w14:textFill>
        </w:rPr>
        <w:t>推进中（蒙）医药传承创新发展，</w:t>
      </w:r>
      <w:r>
        <w:rPr>
          <w:rFonts w:hint="default" w:ascii="Times New Roman" w:hAnsi="Times New Roman" w:cs="Times New Roman"/>
          <w:color w:val="000000" w:themeColor="text1"/>
          <w:highlight w:val="none"/>
          <w14:textFill>
            <w14:solidFill>
              <w14:schemeClr w14:val="tx1"/>
            </w14:solidFill>
          </w14:textFill>
        </w:rPr>
        <w:t>推动“两专科一中心”与“智慧共享煎药中心”建设，探索“中医馆+社区养老”模式，打造中医药文化品牌，建成自治区中医药传承创新发展集聚区。</w:t>
      </w:r>
      <w:bookmarkStart w:id="73" w:name="_Hlk215345354"/>
      <w:r>
        <w:rPr>
          <w:rFonts w:hint="default" w:ascii="Times New Roman" w:hAnsi="Times New Roman" w:cs="Times New Roman"/>
          <w:color w:val="000000" w:themeColor="text1"/>
          <w:highlight w:val="none"/>
          <w14:textFill>
            <w14:solidFill>
              <w14:schemeClr w14:val="tx1"/>
            </w14:solidFill>
          </w14:textFill>
        </w:rPr>
        <w:t>探索中医药与餐饮、文旅、康养等产业多元融合，开发特色中医药科普创意和文化产品。</w:t>
      </w:r>
      <w:bookmarkEnd w:id="73"/>
      <w:r>
        <w:rPr>
          <w:rFonts w:hint="default" w:ascii="Times New Roman" w:hAnsi="Times New Roman" w:cs="Times New Roman"/>
          <w:b/>
          <w:bCs/>
          <w:color w:val="000000" w:themeColor="text1"/>
          <w:highlight w:val="none"/>
          <w14:textFill>
            <w14:solidFill>
              <w14:schemeClr w14:val="tx1"/>
            </w14:solidFill>
          </w14:textFill>
        </w:rPr>
        <w:t>拓宽人才队伍，</w:t>
      </w:r>
      <w:r>
        <w:rPr>
          <w:rFonts w:hint="default" w:ascii="Times New Roman" w:hAnsi="Times New Roman" w:cs="Times New Roman"/>
          <w:color w:val="000000" w:themeColor="text1"/>
          <w:highlight w:val="none"/>
          <w14:textFill>
            <w14:solidFill>
              <w14:schemeClr w14:val="tx1"/>
            </w14:solidFill>
          </w14:textFill>
        </w:rPr>
        <w:t>探索编制统筹与“县管乡用”机制，加大柔性引才，每年引进急需人才20名以上，推进薪酬与职称改革。</w:t>
      </w:r>
      <w:bookmarkStart w:id="74" w:name="_Toc213592796"/>
      <w:bookmarkStart w:id="75" w:name="_Toc211847892"/>
      <w:bookmarkStart w:id="76" w:name="_Toc213590736"/>
      <w:bookmarkStart w:id="77" w:name="_Toc210848574"/>
    </w:p>
    <w:p w14:paraId="3743F5D5">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78" w:name="_Toc1476"/>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第五节 繁荣发展社会主义文化事业</w:t>
      </w:r>
      <w:bookmarkEnd w:id="78"/>
    </w:p>
    <w:p w14:paraId="453AC685">
      <w:pPr>
        <w:spacing w:line="560" w:lineRule="exact"/>
        <w:ind w:firstLine="640"/>
        <w:rPr>
          <w:rStyle w:val="71"/>
          <w:rFonts w:hint="default" w:ascii="Times New Roman" w:hAnsi="Times New Roman" w:eastAsia="方正楷体_GBK" w:cs="Times New Roman"/>
          <w:b/>
          <w:bCs/>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深入挖掘西口文化、红色文化、黄河文化等本土文化内涵，实施文艺精品创作工程，提升文化原创能力，推动文化业态创新与传统老字号振兴。加强各民族文化遗产系统性保护与活态传承，常态化举办形式多样的民族文化活动，促进各民族交往交流交融。完善公共文化服务体系，实施</w:t>
      </w:r>
      <w:r>
        <w:rPr>
          <w:rFonts w:hint="eastAsia" w:cs="Times New Roman"/>
          <w:color w:val="000000" w:themeColor="text1"/>
          <w:highlight w:val="none"/>
          <w:lang w:eastAsia="zh-CN"/>
          <w14:textFill>
            <w14:solidFill>
              <w14:schemeClr w14:val="tx1"/>
            </w14:solidFill>
          </w14:textFill>
        </w:rPr>
        <w:t>公共文化服务提质增效行动</w:t>
      </w:r>
      <w:r>
        <w:rPr>
          <w:rFonts w:hint="default" w:ascii="Times New Roman" w:hAnsi="Times New Roman" w:cs="Times New Roman"/>
          <w:color w:val="000000" w:themeColor="text1"/>
          <w:highlight w:val="none"/>
          <w14:textFill>
            <w14:solidFill>
              <w14:schemeClr w14:val="tx1"/>
            </w14:solidFill>
          </w14:textFill>
        </w:rPr>
        <w:t>，落实“书香满包头”全民阅读城市文化品牌，每年新增图书不少于4000册，营造爱读书、读好书、善读书浓厚氛围。建成老包头历史文化展览馆等特色文化场馆，打造2个具有区域影响力的惠民演出品牌，年均举办公益性文化活动400场次以上，扶持一批优秀群众文艺团队。全面建成覆盖城乡的应急广播体系。加强文物与非物质文化遗产保护，完成第四次全国文物普查，完成铝业园区文物调查与勘探工作，争取文物保护修缮资金。建设自治区级非遗传承教育实践基地，推动剪纸、六合枕等非遗项目进校园、进社区，促进非遗活态传承与产业化发展。力争2030年前成功申报国家级非物质文化遗产代表性项目1项、国家级代表性传承人2名。深化老包头文化区域交流合作，健全“文化+科技+人才”机制，加快发展新型文化业态，创新文化消费模式，加快AI等前沿技术在文化领域的创新应用，用人工智能思维优化文化创作生产传播。充分利用新媒体平台构建文旅宣传推广体系，提升“老包头”文化影响力，推动优秀文化产品与服务“走出去”。健全人才发展机制，努力造就担纲顶梁的文化领军人物，培育德才兼备的文化英才和文化新秀。</w:t>
      </w:r>
    </w:p>
    <w:p w14:paraId="7ADEA37F">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79" w:name="_Toc27697"/>
      <w:r>
        <w:rPr>
          <w:rFonts w:hint="default" w:ascii="Times New Roman" w:hAnsi="Times New Roman" w:eastAsia="方正楷体_GBK" w:cs="Times New Roman"/>
          <w:b/>
          <w:bCs/>
          <w:color w:val="000000" w:themeColor="text1"/>
          <w:szCs w:val="32"/>
          <w:highlight w:val="none"/>
          <w14:textFill>
            <w14:solidFill>
              <w14:schemeClr w14:val="tx1"/>
            </w14:solidFill>
          </w14:textFill>
        </w:rPr>
        <w:t>第六节 积极发展体育事业</w:t>
      </w:r>
      <w:bookmarkEnd w:id="74"/>
      <w:bookmarkEnd w:id="75"/>
      <w:bookmarkEnd w:id="76"/>
      <w:bookmarkEnd w:id="79"/>
    </w:p>
    <w:p w14:paraId="4A332E68">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统筹群众体育和竞技体育全面发展，广泛开展群众性体育活动，因地制宜推进全民健身场地设施升级改造与资源整合优化，2030年实现居民小区体育设施全覆盖，新增健身站点10个以上，人均体育场地面积达1.8平方米，确保居民步行10分钟内即可抵达健身场所。落实建设体育强国，</w:t>
      </w:r>
      <w:bookmarkStart w:id="80" w:name="OLE_LINK1"/>
      <w:r>
        <w:rPr>
          <w:rFonts w:hint="default" w:ascii="Times New Roman" w:hAnsi="Times New Roman" w:cs="Times New Roman"/>
          <w:color w:val="000000" w:themeColor="text1"/>
          <w:highlight w:val="none"/>
          <w14:textFill>
            <w14:solidFill>
              <w14:schemeClr w14:val="tx1"/>
            </w14:solidFill>
          </w14:textFill>
        </w:rPr>
        <w:t>提升竞技体育竞争力</w:t>
      </w:r>
      <w:bookmarkEnd w:id="80"/>
      <w:r>
        <w:rPr>
          <w:rFonts w:hint="default" w:ascii="Times New Roman" w:hAnsi="Times New Roman" w:cs="Times New Roman"/>
          <w:color w:val="000000" w:themeColor="text1"/>
          <w:highlight w:val="none"/>
          <w14:textFill>
            <w14:solidFill>
              <w14:schemeClr w14:val="tx1"/>
            </w14:solidFill>
          </w14:textFill>
        </w:rPr>
        <w:t>，推动体育与科普、教育、文旅、健康等领域融合发展。打造赛事品牌，以市场化思维举办好龙舟赛、皮划艇赛，推动水上赛事、冰雪运动与科普、教育、文旅等深度融合，将活动“流量”有效转化为消费“增量”；常态化开展社区运动会等群众体育活动，培育社会体育指导员不少于500人。大力推动学校体育场馆向社会开放，提高设施利用率。</w:t>
      </w:r>
    </w:p>
    <w:p w14:paraId="28881B95">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81" w:name="_Toc30940"/>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第七节 促进人口高质量发展</w:t>
      </w:r>
      <w:bookmarkEnd w:id="77"/>
      <w:bookmarkEnd w:id="81"/>
    </w:p>
    <w:p w14:paraId="0896E7C4">
      <w:pPr>
        <w:spacing w:line="560" w:lineRule="exact"/>
        <w:ind w:firstLine="643"/>
        <w:rPr>
          <w:rFonts w:hint="default" w:ascii="Times New Roman" w:hAnsi="Times New Roman" w:eastAsia="方正楷体_GBK" w:cs="Times New Roman"/>
          <w:b/>
          <w:bCs/>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全面落实生育激励政策</w:t>
      </w:r>
      <w:r>
        <w:rPr>
          <w:rFonts w:hint="default" w:ascii="Times New Roman" w:hAnsi="Times New Roman" w:cs="Times New Roman"/>
          <w:color w:val="000000" w:themeColor="text1"/>
          <w:highlight w:val="none"/>
          <w14:textFill>
            <w14:solidFill>
              <w14:schemeClr w14:val="tx1"/>
            </w14:solidFill>
          </w14:textFill>
        </w:rPr>
        <w:t>，加强妇幼健康保障，优化生育全程服务，加快建设生育友好型和</w:t>
      </w:r>
      <w:r>
        <w:rPr>
          <w:rFonts w:hint="eastAsia" w:cs="Times New Roman"/>
          <w:color w:val="000000" w:themeColor="text1"/>
          <w:highlight w:val="none"/>
          <w:lang w:eastAsia="zh-CN"/>
          <w14:textFill>
            <w14:solidFill>
              <w14:schemeClr w14:val="tx1"/>
            </w14:solidFill>
          </w14:textFill>
        </w:rPr>
        <w:t>儿童友好城市</w:t>
      </w:r>
      <w:r>
        <w:rPr>
          <w:rFonts w:hint="default" w:ascii="Times New Roman" w:hAnsi="Times New Roman" w:cs="Times New Roman"/>
          <w:color w:val="000000" w:themeColor="text1"/>
          <w:highlight w:val="none"/>
          <w14:textFill>
            <w14:solidFill>
              <w14:schemeClr w14:val="tx1"/>
            </w14:solidFill>
          </w14:textFill>
        </w:rPr>
        <w:t>。落实生育保险、生育休假制度，实施早孕关爱行动、孕育和出生缺陷防治能力提升计划。</w:t>
      </w:r>
      <w:r>
        <w:rPr>
          <w:rFonts w:hint="default" w:ascii="Times New Roman" w:hAnsi="Times New Roman" w:cs="Times New Roman"/>
          <w:b/>
          <w:bCs/>
          <w:color w:val="000000" w:themeColor="text1"/>
          <w:highlight w:val="none"/>
          <w14:textFill>
            <w14:solidFill>
              <w14:schemeClr w14:val="tx1"/>
            </w14:solidFill>
          </w14:textFill>
        </w:rPr>
        <w:t>健全多层次养老服务体系，</w:t>
      </w:r>
      <w:r>
        <w:rPr>
          <w:rFonts w:hint="default" w:ascii="Times New Roman" w:hAnsi="Times New Roman" w:cs="Times New Roman"/>
          <w:color w:val="000000" w:themeColor="text1"/>
          <w:highlight w:val="none"/>
          <w14:textFill>
            <w14:solidFill>
              <w14:schemeClr w14:val="tx1"/>
            </w14:solidFill>
          </w14:textFill>
        </w:rPr>
        <w:t>完善以居家为基础、社区为依托、机构为补充、医养相结合的养老服务格局</w:t>
      </w:r>
      <w:bookmarkStart w:id="82" w:name="_Hlk216192428"/>
      <w:r>
        <w:rPr>
          <w:rFonts w:hint="default" w:ascii="Times New Roman" w:hAnsi="Times New Roman" w:cs="Times New Roman"/>
          <w:color w:val="000000" w:themeColor="text1"/>
          <w:highlight w:val="none"/>
          <w14:textFill>
            <w14:solidFill>
              <w14:schemeClr w14:val="tx1"/>
            </w14:solidFill>
          </w14:textFill>
        </w:rPr>
        <w:t>，发展嵌入式社区养老服务，</w:t>
      </w:r>
      <w:bookmarkEnd w:id="82"/>
      <w:r>
        <w:rPr>
          <w:rFonts w:hint="eastAsia" w:cs="Times New Roman"/>
          <w:color w:val="000000" w:themeColor="text1"/>
          <w:highlight w:val="none"/>
          <w:lang w:eastAsia="zh-CN"/>
          <w14:textFill>
            <w14:solidFill>
              <w14:schemeClr w14:val="tx1"/>
            </w14:solidFill>
          </w14:textFill>
        </w:rPr>
        <w:t>扩大普惠养老服务供给</w:t>
      </w:r>
      <w:r>
        <w:rPr>
          <w:rFonts w:hint="default" w:ascii="Times New Roman" w:hAnsi="Times New Roman" w:cs="Times New Roman"/>
          <w:color w:val="000000" w:themeColor="text1"/>
          <w:highlight w:val="none"/>
          <w14:textFill>
            <w14:solidFill>
              <w14:schemeClr w14:val="tx1"/>
            </w14:solidFill>
          </w14:textFill>
        </w:rPr>
        <w:t>，推动适老产品研发与服务创新，提升专业化照护能力，构建全覆盖、多层次、高品质的养老服务体系。</w:t>
      </w:r>
      <w:r>
        <w:rPr>
          <w:rFonts w:hint="default" w:ascii="Times New Roman" w:hAnsi="Times New Roman" w:cs="Times New Roman"/>
          <w:b/>
          <w:bCs/>
          <w:color w:val="000000" w:themeColor="text1"/>
          <w:highlight w:val="none"/>
          <w14:textFill>
            <w14:solidFill>
              <w14:schemeClr w14:val="tx1"/>
            </w14:solidFill>
          </w14:textFill>
        </w:rPr>
        <w:t>培育银发经济新动能，</w:t>
      </w:r>
      <w:r>
        <w:rPr>
          <w:rFonts w:hint="default" w:ascii="Times New Roman" w:hAnsi="Times New Roman" w:cs="Times New Roman"/>
          <w:color w:val="000000" w:themeColor="text1"/>
          <w:highlight w:val="none"/>
          <w14:textFill>
            <w14:solidFill>
              <w14:schemeClr w14:val="tx1"/>
            </w14:solidFill>
          </w14:textFill>
        </w:rPr>
        <w:t>积极开发养老顾问、康复护理等养老服务岗位，拓展“养老服务+”融合发展模式。</w:t>
      </w:r>
      <w:bookmarkStart w:id="83" w:name="_Hlk215381199"/>
      <w:r>
        <w:rPr>
          <w:rFonts w:hint="default" w:ascii="Times New Roman" w:hAnsi="Times New Roman" w:cs="Times New Roman"/>
          <w:color w:val="000000" w:themeColor="text1"/>
          <w:highlight w:val="none"/>
          <w14:textFill>
            <w14:solidFill>
              <w14:schemeClr w14:val="tx1"/>
            </w14:solidFill>
          </w14:textFill>
        </w:rPr>
        <w:t>积极开发适老型岗位，实现服务提升与老年人力资源开发的良性互动。</w:t>
      </w:r>
      <w:bookmarkEnd w:id="83"/>
      <w:r>
        <w:rPr>
          <w:rFonts w:hint="default" w:ascii="Times New Roman" w:hAnsi="Times New Roman" w:cs="Times New Roman"/>
          <w:color w:val="000000" w:themeColor="text1"/>
          <w:highlight w:val="none"/>
          <w14:textFill>
            <w14:solidFill>
              <w14:schemeClr w14:val="tx1"/>
            </w14:solidFill>
          </w14:textFill>
        </w:rPr>
        <w:t>培育银发经济新业态，推动老年产品用品研发制造和消费升级。</w:t>
      </w:r>
      <w:r>
        <w:rPr>
          <w:rFonts w:hint="default" w:ascii="Times New Roman" w:hAnsi="Times New Roman" w:cs="Times New Roman"/>
          <w:b/>
          <w:bCs/>
          <w:color w:val="000000" w:themeColor="text1"/>
          <w:highlight w:val="none"/>
          <w14:textFill>
            <w14:solidFill>
              <w14:schemeClr w14:val="tx1"/>
            </w14:solidFill>
          </w14:textFill>
        </w:rPr>
        <w:t>统筹推进城区养老服务提质增效与农村地区服务能力提升行动，</w:t>
      </w:r>
      <w:r>
        <w:rPr>
          <w:rFonts w:hint="default" w:ascii="Times New Roman" w:hAnsi="Times New Roman" w:cs="Times New Roman"/>
          <w:color w:val="000000" w:themeColor="text1"/>
          <w:highlight w:val="none"/>
          <w14:textFill>
            <w14:solidFill>
              <w14:schemeClr w14:val="tx1"/>
            </w14:solidFill>
          </w14:textFill>
        </w:rPr>
        <w:t>促进全域养老服务资源均衡配置与基层供给，加强公共设施适老化和无障碍改造。补齐农村养老服务短板，发展农村互助性养老服务。</w:t>
      </w:r>
      <w:r>
        <w:rPr>
          <w:rFonts w:hint="default" w:ascii="Times New Roman" w:hAnsi="Times New Roman" w:cs="Times New Roman"/>
          <w:b/>
          <w:bCs/>
          <w:color w:val="000000" w:themeColor="text1"/>
          <w:highlight w:val="none"/>
          <w14:textFill>
            <w14:solidFill>
              <w14:schemeClr w14:val="tx1"/>
            </w14:solidFill>
          </w14:textFill>
        </w:rPr>
        <w:t>强化智慧技术赋能</w:t>
      </w:r>
      <w:r>
        <w:rPr>
          <w:rFonts w:hint="default" w:ascii="Times New Roman" w:hAnsi="Times New Roman" w:cs="Times New Roman"/>
          <w:color w:val="000000" w:themeColor="text1"/>
          <w:highlight w:val="none"/>
          <w14:textFill>
            <w14:solidFill>
              <w14:schemeClr w14:val="tx1"/>
            </w14:solidFill>
          </w14:textFill>
        </w:rPr>
        <w:t>，加快智慧养老平台建设，推动人工智能、物联网等技术在养老领域的深度融合与应用。研发推广适老化智能产品和终端设备，增强服务的便捷性与可及性。</w:t>
      </w:r>
      <w:r>
        <w:rPr>
          <w:rFonts w:hint="default" w:ascii="Times New Roman" w:hAnsi="Times New Roman" w:cs="Times New Roman"/>
          <w:b/>
          <w:bCs/>
          <w:color w:val="000000" w:themeColor="text1"/>
          <w:highlight w:val="none"/>
          <w14:textFill>
            <w14:solidFill>
              <w14:schemeClr w14:val="tx1"/>
            </w14:solidFill>
          </w14:textFill>
        </w:rPr>
        <w:t>营造老年友好社会环境</w:t>
      </w:r>
      <w:r>
        <w:rPr>
          <w:rFonts w:hint="default" w:ascii="Times New Roman" w:hAnsi="Times New Roman" w:cs="Times New Roman"/>
          <w:color w:val="000000" w:themeColor="text1"/>
          <w:highlight w:val="none"/>
          <w14:textFill>
            <w14:solidFill>
              <w14:schemeClr w14:val="tx1"/>
            </w14:solidFill>
          </w14:textFill>
        </w:rPr>
        <w:t>，积极倡导健康老龄化理念，普及积极老龄观，弘扬敬老孝老传统美德。推进老年友好社区建设，构建尊重、包容、支持老年人的社会环境。</w:t>
      </w:r>
    </w:p>
    <w:p w14:paraId="20460C5E">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84" w:name="_Toc8624"/>
      <w:r>
        <w:rPr>
          <w:rFonts w:hint="default" w:ascii="Times New Roman" w:hAnsi="Times New Roman" w:eastAsia="方正楷体_GBK" w:cs="Times New Roman"/>
          <w:b/>
          <w:bCs/>
          <w:color w:val="000000" w:themeColor="text1"/>
          <w:szCs w:val="32"/>
          <w:highlight w:val="none"/>
          <w14:textFill>
            <w14:solidFill>
              <w14:schemeClr w14:val="tx1"/>
            </w14:solidFill>
          </w14:textFill>
        </w:rPr>
        <w:t>第八节 构建更加完善的社会保障体系</w:t>
      </w:r>
      <w:bookmarkEnd w:id="84"/>
    </w:p>
    <w:p w14:paraId="3A553489">
      <w:pPr>
        <w:spacing w:line="560" w:lineRule="exact"/>
        <w:ind w:firstLine="643"/>
        <w:rPr>
          <w:rFonts w:hint="default" w:ascii="Times New Roman" w:hAnsi="Times New Roman" w:cs="Times New Roman"/>
          <w:color w:val="000000" w:themeColor="text1"/>
          <w:highlight w:val="none"/>
          <w14:textFill>
            <w14:solidFill>
              <w14:schemeClr w14:val="tx1"/>
            </w14:solidFill>
          </w14:textFill>
        </w:rPr>
      </w:pPr>
      <w:bookmarkStart w:id="85" w:name="_Toc211847894"/>
      <w:r>
        <w:rPr>
          <w:rFonts w:hint="default" w:ascii="Times New Roman" w:hAnsi="Times New Roman" w:cs="Times New Roman"/>
          <w:b/>
          <w:bCs/>
          <w:color w:val="000000" w:themeColor="text1"/>
          <w:highlight w:val="none"/>
          <w14:textFill>
            <w14:solidFill>
              <w14:schemeClr w14:val="tx1"/>
            </w14:solidFill>
          </w14:textFill>
        </w:rPr>
        <w:t>扩大社会保险覆盖面，</w:t>
      </w:r>
      <w:r>
        <w:rPr>
          <w:rFonts w:hint="default" w:ascii="Times New Roman" w:hAnsi="Times New Roman" w:cs="Times New Roman"/>
          <w:color w:val="000000" w:themeColor="text1"/>
          <w:highlight w:val="none"/>
          <w14:textFill>
            <w14:solidFill>
              <w14:schemeClr w14:val="tx1"/>
            </w14:solidFill>
          </w14:textFill>
        </w:rPr>
        <w:t>落实灵活就业人员、农民工、新业态从业人员等重点群体参保政策，强化政策宣传与参保引导，力争“十五五”末基本养老保险参保率达95%。优化经办服务流程，确保养老保险待遇按时足额发放，稳步提升保障水平。落实企业职工基本养老保险全国统筹制度，落实渐进式延迟法定退休年龄和病残津贴制度，推进机关事业单位养老保险制度改革后续工作，鼓励企业建立年金制度。</w:t>
      </w:r>
      <w:r>
        <w:rPr>
          <w:rFonts w:hint="default" w:ascii="Times New Roman" w:hAnsi="Times New Roman" w:cs="Times New Roman"/>
          <w:b/>
          <w:bCs/>
          <w:color w:val="000000" w:themeColor="text1"/>
          <w:highlight w:val="none"/>
          <w14:textFill>
            <w14:solidFill>
              <w14:schemeClr w14:val="tx1"/>
            </w14:solidFill>
          </w14:textFill>
        </w:rPr>
        <w:t>深化医疗保障改革，</w:t>
      </w:r>
      <w:r>
        <w:rPr>
          <w:rFonts w:hint="default" w:ascii="Times New Roman" w:hAnsi="Times New Roman" w:cs="Times New Roman"/>
          <w:color w:val="000000" w:themeColor="text1"/>
          <w:highlight w:val="none"/>
          <w14:textFill>
            <w14:solidFill>
              <w14:schemeClr w14:val="tx1"/>
            </w14:solidFill>
          </w14:textFill>
        </w:rPr>
        <w:t>合理控制医药机构数量，落实城乡居民基本医疗参保和待遇享受机制，贯彻执行医保药品目录，扩大用药保障范围。推进医保支付方式改革，提升基金使用效率，切实减轻群众医疗负担。</w:t>
      </w:r>
      <w:r>
        <w:rPr>
          <w:rFonts w:hint="default" w:ascii="Times New Roman" w:hAnsi="Times New Roman" w:cs="Times New Roman"/>
          <w:b/>
          <w:bCs/>
          <w:color w:val="000000" w:themeColor="text1"/>
          <w:highlight w:val="none"/>
          <w14:textFill>
            <w14:solidFill>
              <w14:schemeClr w14:val="tx1"/>
            </w14:solidFill>
          </w14:textFill>
        </w:rPr>
        <w:t>强化社会救助功能，</w:t>
      </w:r>
      <w:r>
        <w:rPr>
          <w:rFonts w:hint="default" w:ascii="Times New Roman" w:hAnsi="Times New Roman" w:cs="Times New Roman"/>
          <w:color w:val="000000" w:themeColor="text1"/>
          <w:highlight w:val="none"/>
          <w14:textFill>
            <w14:solidFill>
              <w14:schemeClr w14:val="tx1"/>
            </w14:solidFill>
          </w14:textFill>
        </w:rPr>
        <w:t>完善低收入人口动态监测和精准识别机制，及时将符合条件的困难群众纳入救助范围，建立常态化救助帮扶机制。健全分层分类的社会救助体系，完善空巢老人、困境儿童、残疾人等群体关爱服务体系，倡导绿色、低碳、文明殡葬，完成安乐堂公益骨灰存放点改造任务。加强残疾人福利保障，推进无障碍环境建设。加强退役军人服务保障。优化保障性住房供给，满足城镇工薪群体和各类困难家庭基本住房需求。规范发展住房租赁市场，推动实现公共服务租购同权。加快构建房地产开发新模式，加大高品质住房供给，发展安全舒适绿色智慧的“好房子”，实施房屋品质提升工程和物业服务质量提升行动，推进物业服务企业分级分类管理，推行“菜单式”服务，促进物业服务质价相符。建立房屋安全体检、房屋安全管理资金、房屋质量安全保险等房屋全生命周期安全管理制度。</w:t>
      </w:r>
    </w:p>
    <w:bookmarkEnd w:id="85"/>
    <w:p w14:paraId="6A9287BD">
      <w:pPr>
        <w:spacing w:line="560" w:lineRule="exact"/>
        <w:ind w:firstLine="0" w:firstLineChars="0"/>
        <w:jc w:val="center"/>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86" w:name="_Toc20136"/>
      <w:r>
        <w:rPr>
          <w:rFonts w:hint="default" w:ascii="Times New Roman" w:hAnsi="Times New Roman" w:eastAsia="黑体" w:cs="Times New Roman"/>
          <w:color w:val="000000" w:themeColor="text1"/>
          <w:szCs w:val="32"/>
          <w:highlight w:val="none"/>
          <w14:textFill>
            <w14:solidFill>
              <w14:schemeClr w14:val="tx1"/>
            </w14:solidFill>
          </w14:textFill>
        </w:rPr>
        <w:t>第十章 统筹发展和安全，筑牢安全稳定屏障</w:t>
      </w:r>
      <w:bookmarkEnd w:id="86"/>
    </w:p>
    <w:p w14:paraId="2D02D0C1">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bookmarkStart w:id="87" w:name="_Hlk215382001"/>
      <w:r>
        <w:rPr>
          <w:rFonts w:hint="default" w:ascii="Times New Roman" w:hAnsi="Times New Roman" w:cs="Times New Roman"/>
          <w:color w:val="000000" w:themeColor="text1"/>
          <w:highlight w:val="none"/>
          <w14:textFill>
            <w14:solidFill>
              <w14:schemeClr w14:val="tx1"/>
            </w14:solidFill>
          </w14:textFill>
        </w:rPr>
        <w:t>深入贯彻总体国家安全观，把安全发展理念贯穿于经济社会发展各领域全过程，</w:t>
      </w:r>
      <w:bookmarkEnd w:id="87"/>
      <w:r>
        <w:rPr>
          <w:rFonts w:hint="default" w:ascii="Times New Roman" w:hAnsi="Times New Roman" w:cs="Times New Roman"/>
          <w:color w:val="000000" w:themeColor="text1"/>
          <w:highlight w:val="none"/>
          <w14:textFill>
            <w14:solidFill>
              <w14:schemeClr w14:val="tx1"/>
            </w14:solidFill>
          </w14:textFill>
        </w:rPr>
        <w:t>统筹推进治理体系和治理能力现代化，着力补齐社会治理领域的短板弱项，夯实安全稳定屏障。</w:t>
      </w:r>
    </w:p>
    <w:p w14:paraId="600F4C82">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88" w:name="_Toc21910"/>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第一节 全力维护国家政治安全</w:t>
      </w:r>
      <w:bookmarkEnd w:id="88"/>
    </w:p>
    <w:p w14:paraId="45F7139C">
      <w:pPr>
        <w:spacing w:line="560" w:lineRule="exact"/>
        <w:ind w:firstLine="640"/>
        <w:rPr>
          <w:rFonts w:hint="default" w:ascii="Times New Roman" w:hAnsi="Times New Roman" w:eastAsia="方正楷体_GBK" w:cs="Times New Roman"/>
          <w:b/>
          <w:bCs/>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坚持总体国家安全观，严格落实党委（党组）国家安全责任制，促进全链条全要素协同联动，不断强化国家安全宣传教育</w:t>
      </w:r>
      <w:r>
        <w:rPr>
          <w:rFonts w:hint="default" w:ascii="Times New Roman" w:hAnsi="Times New Roman" w:cs="Times New Roman"/>
          <w:highlight w:val="none"/>
        </w:rPr>
        <w:t>。推进社会治安防护体系现代化建设，提升治安防控与源头治理能力，用好网络、大数据、人工智能等手段，</w:t>
      </w:r>
      <w:r>
        <w:rPr>
          <w:rFonts w:hint="default" w:ascii="Times New Roman" w:hAnsi="Times New Roman" w:cs="Times New Roman"/>
          <w:color w:val="000000" w:themeColor="text1"/>
          <w:highlight w:val="none"/>
          <w14:textFill>
            <w14:solidFill>
              <w14:schemeClr w14:val="tx1"/>
            </w14:solidFill>
          </w14:textFill>
        </w:rPr>
        <w:t>切实防范敌对势力渗透、破坏、颠覆及分裂活动，构建抵御境外宗教渗透的立体“防护网”。完善国防动员体系</w:t>
      </w:r>
      <w:bookmarkStart w:id="89" w:name="_Hlk215382233"/>
      <w:r>
        <w:rPr>
          <w:rFonts w:hint="default" w:ascii="Times New Roman" w:hAnsi="Times New Roman" w:cs="Times New Roman"/>
          <w:color w:val="000000" w:themeColor="text1"/>
          <w:highlight w:val="none"/>
          <w14:textFill>
            <w14:solidFill>
              <w14:schemeClr w14:val="tx1"/>
            </w14:solidFill>
          </w14:textFill>
        </w:rPr>
        <w:t>，广泛深入开展全民国防教育，将王若飞纪念馆打造为全国全民国防教育基地</w:t>
      </w:r>
      <w:bookmarkEnd w:id="89"/>
      <w:r>
        <w:rPr>
          <w:rFonts w:hint="default" w:ascii="Times New Roman" w:hAnsi="Times New Roman" w:cs="Times New Roman"/>
          <w:color w:val="000000" w:themeColor="text1"/>
          <w:highlight w:val="none"/>
          <w14:textFill>
            <w14:solidFill>
              <w14:schemeClr w14:val="tx1"/>
            </w14:solidFill>
          </w14:textFill>
        </w:rPr>
        <w:t>；强化国防动员和后备力量建设，服务保障驻区部队和军事基地建设，深化军地双拥共建，巩固军政军民团结。</w:t>
      </w:r>
      <w:bookmarkStart w:id="90" w:name="_Hlk215382296"/>
      <w:r>
        <w:rPr>
          <w:rFonts w:hint="default" w:ascii="Times New Roman" w:hAnsi="Times New Roman" w:cs="Times New Roman"/>
          <w:color w:val="000000" w:themeColor="text1"/>
          <w:highlight w:val="none"/>
          <w14:textFill>
            <w14:solidFill>
              <w14:schemeClr w14:val="tx1"/>
            </w14:solidFill>
          </w14:textFill>
        </w:rPr>
        <w:t>弘扬双拥优良传统，助力包头市争创全国双拥模范城“十一连冠”。</w:t>
      </w:r>
      <w:bookmarkEnd w:id="90"/>
      <w:r>
        <w:rPr>
          <w:rFonts w:hint="default" w:ascii="Times New Roman" w:hAnsi="Times New Roman" w:cs="Times New Roman"/>
          <w:color w:val="000000" w:themeColor="text1"/>
          <w:highlight w:val="none"/>
          <w14:textFill>
            <w14:solidFill>
              <w14:schemeClr w14:val="tx1"/>
            </w14:solidFill>
          </w14:textFill>
        </w:rPr>
        <w:t>扎实推进基层反邪教工作。维护意识形态领域安全，严格执行党委意识形态工作责任制实施办法，实施意识形态工作能力提升工程，建立舆情快速反应机制，加强各类圈群、自媒体、新型社交平台管理，提升网络综合治理能力。</w:t>
      </w:r>
    </w:p>
    <w:p w14:paraId="32B80F3B">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91" w:name="_Toc19129"/>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第二节 不断加强民主法治水平</w:t>
      </w:r>
      <w:bookmarkEnd w:id="91"/>
    </w:p>
    <w:p w14:paraId="5A2D0FD1">
      <w:pPr>
        <w:spacing w:line="560" w:lineRule="exact"/>
        <w:ind w:firstLine="640"/>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发展全过程人民民主，加强和改进新时代人大工作。加强人民政协专门协商机构建设，推动协商民主广泛多层制度化发展。充分发挥“两代表一委员”作用机制，完善凝聚服务群众工作机制，健全吸纳民意、民智工作机制。完善大统战工作格局，巩固和发展最广泛的爱国统一战线，</w:t>
      </w:r>
      <w:bookmarkStart w:id="92" w:name="_Hlk215383017"/>
      <w:r>
        <w:rPr>
          <w:rFonts w:hint="default" w:ascii="Times New Roman" w:hAnsi="Times New Roman" w:cs="Times New Roman"/>
          <w:color w:val="000000" w:themeColor="text1"/>
          <w:highlight w:val="none"/>
          <w14:textFill>
            <w14:solidFill>
              <w14:schemeClr w14:val="tx1"/>
            </w14:solidFill>
          </w14:textFill>
        </w:rPr>
        <w:t>加强群团组织建设，发挥好桥梁纽带作用，把广大群众团结凝聚在党的周围</w:t>
      </w:r>
      <w:bookmarkEnd w:id="92"/>
      <w:r>
        <w:rPr>
          <w:rFonts w:hint="default" w:ascii="Times New Roman" w:hAnsi="Times New Roman" w:cs="Times New Roman"/>
          <w:color w:val="000000" w:themeColor="text1"/>
          <w:highlight w:val="none"/>
          <w14:textFill>
            <w14:solidFill>
              <w14:schemeClr w14:val="tx1"/>
            </w14:solidFill>
          </w14:textFill>
        </w:rPr>
        <w:t>。加强宗教中国化与宗教事务治理法治化。深入推进依法治区，强化法治政府建设，规范司法权力运行，强化领导干部依法办事监督检查。组建合法性审查队伍，推动政府法律顾问全覆盖。优化行政执法监督，严格落实行政执法“三项制度”，聚焦行政执法重点领域，强化案卷评查、专项检查、动态抽查，构建全方位、立体化监督体系。强化执法队伍专业化建设，常态化开展业务培训，提升行政执法规范化水平。贯彻落实“九五”普法规划，推动普法融入执法全过程，常态化开展专题法律讲座。依托东河法治品牌，开展分众化、对象化宣传活动。健全公共法律服务体系。深化律师、公证、调解制度改革，提升法律服务队伍专业素养，优化区级公共法律服务中心功能，实现法律援助“应援尽援”。推进“线上+线下”服务协同，提升服务精准度与便捷性。</w:t>
      </w:r>
    </w:p>
    <w:p w14:paraId="0DC4A669">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93" w:name="_Toc29496"/>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第三节 强化重点领域风险防范</w:t>
      </w:r>
      <w:bookmarkEnd w:id="93"/>
    </w:p>
    <w:p w14:paraId="4C30C9AF">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做好债务风险防范，坚决遏制增量、化解存量，完成隐性债务化解、清偿拖欠企业账款任务，探索建立违规举债责任追究制度，严厉打击非法金融活动，守住不发生系统性风险的底线</w:t>
      </w:r>
      <w:bookmarkStart w:id="94" w:name="_Hlk215382471"/>
      <w:r>
        <w:rPr>
          <w:rFonts w:hint="default" w:ascii="Times New Roman" w:hAnsi="Times New Roman" w:cs="Times New Roman"/>
          <w:color w:val="000000" w:themeColor="text1"/>
          <w:highlight w:val="none"/>
          <w14:textFill>
            <w14:solidFill>
              <w14:schemeClr w14:val="tx1"/>
            </w14:solidFill>
          </w14:textFill>
        </w:rPr>
        <w:t>。优化重大决策、重大项目、重大工程、重大活动决策风险管控机制</w:t>
      </w:r>
      <w:bookmarkEnd w:id="94"/>
      <w:r>
        <w:rPr>
          <w:rFonts w:hint="default" w:ascii="Times New Roman" w:hAnsi="Times New Roman" w:cs="Times New Roman"/>
          <w:color w:val="000000" w:themeColor="text1"/>
          <w:highlight w:val="none"/>
          <w14:textFill>
            <w14:solidFill>
              <w14:schemeClr w14:val="tx1"/>
            </w14:solidFill>
          </w14:textFill>
        </w:rPr>
        <w:t>。加强粮食安全保障，巩固和提高粮食生产能力，完善地方粮食储备管理体制机制。提高安全生产水平，完善大安全大应急框架下应急指挥机制，打好安全生产治本攻坚三年行动收官战，常态化抓好矿山、危化品、建筑、特种设备、燃气等重点领域安全专项整治，推广智慧消防等数字化监管，坚决防范和遏制发生重特大安全事故。提高食品药品安全监管，严格落实食品安全属地管理、部门监管和企业主体责任，实施食品安全监管基础设施建设工程，健全</w:t>
      </w:r>
      <w:r>
        <w:rPr>
          <w:rFonts w:hint="eastAsia" w:cs="Times New Roman"/>
          <w:color w:val="000000" w:themeColor="text1"/>
          <w:highlight w:val="none"/>
          <w:lang w:eastAsia="zh-CN"/>
          <w14:textFill>
            <w14:solidFill>
              <w14:schemeClr w14:val="tx1"/>
            </w14:solidFill>
          </w14:textFill>
        </w:rPr>
        <w:t>食品药品安全全链条监管</w:t>
      </w:r>
      <w:r>
        <w:rPr>
          <w:rFonts w:hint="default" w:ascii="Times New Roman" w:hAnsi="Times New Roman" w:cs="Times New Roman"/>
          <w:color w:val="000000" w:themeColor="text1"/>
          <w:highlight w:val="none"/>
          <w14:textFill>
            <w14:solidFill>
              <w14:schemeClr w14:val="tx1"/>
            </w14:solidFill>
          </w14:textFill>
        </w:rPr>
        <w:t>机制，完善信息化追溯体系。</w:t>
      </w:r>
      <w:bookmarkStart w:id="95" w:name="_Hlk215382634"/>
      <w:r>
        <w:rPr>
          <w:rFonts w:hint="default" w:ascii="Times New Roman" w:hAnsi="Times New Roman" w:cs="Times New Roman"/>
          <w:color w:val="000000" w:themeColor="text1"/>
          <w:highlight w:val="none"/>
          <w14:textFill>
            <w14:solidFill>
              <w14:schemeClr w14:val="tx1"/>
            </w14:solidFill>
          </w14:textFill>
        </w:rPr>
        <w:t>提升应急保障能力，加强城乡灭火救援、森林草原防灭火、防汛抗旱减灾、地质灾害防治、极端天气应对等能力建设，建立健全应急处置联动机制，提升雨水情监测预报感知能力和人工影响天气服务保障能力，加紧补齐排水防涝设施短板，实现城市易涝积水点动态消除。</w:t>
      </w:r>
      <w:r>
        <w:rPr>
          <w:rFonts w:hint="default" w:ascii="Times New Roman" w:hAnsi="Times New Roman" w:cs="Times New Roman"/>
          <w:szCs w:val="32"/>
          <w:highlight w:val="none"/>
        </w:rPr>
        <w:t>强化公安基层基础建设，加强公共法律服务中心等平台建设，推进“智慧公安”等项目建设，健全扫黑除恶常态化机制，</w:t>
      </w:r>
      <w:r>
        <w:rPr>
          <w:rFonts w:hint="default" w:ascii="Times New Roman" w:hAnsi="Times New Roman" w:cs="Times New Roman"/>
          <w:color w:val="000000" w:themeColor="text1"/>
          <w:highlight w:val="none"/>
          <w14:textFill>
            <w14:solidFill>
              <w14:schemeClr w14:val="tx1"/>
            </w14:solidFill>
          </w14:textFill>
        </w:rPr>
        <w:t>加大预防和打击网络传销、网络诈骗</w:t>
      </w:r>
      <w:bookmarkStart w:id="96" w:name="_Hlk215382750"/>
      <w:r>
        <w:rPr>
          <w:rFonts w:hint="default" w:ascii="Times New Roman" w:hAnsi="Times New Roman" w:cs="Times New Roman"/>
          <w:color w:val="000000" w:themeColor="text1"/>
          <w:highlight w:val="none"/>
          <w14:textFill>
            <w14:solidFill>
              <w14:schemeClr w14:val="tx1"/>
            </w14:solidFill>
          </w14:textFill>
        </w:rPr>
        <w:t>与毒品犯罪力度，强化未成年人违法犯罪预防和治理</w:t>
      </w:r>
      <w:bookmarkEnd w:id="96"/>
      <w:r>
        <w:rPr>
          <w:rFonts w:hint="default" w:ascii="Times New Roman" w:hAnsi="Times New Roman" w:cs="Times New Roman"/>
          <w:color w:val="000000" w:themeColor="text1"/>
          <w:highlight w:val="none"/>
          <w14:textFill>
            <w14:solidFill>
              <w14:schemeClr w14:val="tx1"/>
            </w14:solidFill>
          </w14:textFill>
        </w:rPr>
        <w:t>。</w:t>
      </w:r>
      <w:bookmarkEnd w:id="95"/>
      <w:r>
        <w:rPr>
          <w:rFonts w:hint="default" w:ascii="Times New Roman" w:hAnsi="Times New Roman" w:cs="Times New Roman"/>
          <w:color w:val="000000" w:themeColor="text1"/>
          <w:highlight w:val="none"/>
          <w14:textFill>
            <w14:solidFill>
              <w14:schemeClr w14:val="tx1"/>
            </w14:solidFill>
          </w14:textFill>
        </w:rPr>
        <w:t xml:space="preserve"> </w:t>
      </w:r>
    </w:p>
    <w:p w14:paraId="06B6199E">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97" w:name="_Toc12533"/>
      <w:r>
        <w:rPr>
          <w:rFonts w:hint="default" w:ascii="Times New Roman" w:hAnsi="Times New Roman" w:eastAsia="方正楷体_GBK" w:cs="Times New Roman"/>
          <w:b/>
          <w:bCs/>
          <w:color w:val="000000" w:themeColor="text1"/>
          <w:szCs w:val="32"/>
          <w:highlight w:val="none"/>
          <w14:textFill>
            <w14:solidFill>
              <w14:schemeClr w14:val="tx1"/>
            </w14:solidFill>
          </w14:textFill>
        </w:rPr>
        <w:t>第四节 大力提升基层治理效能</w:t>
      </w:r>
      <w:bookmarkEnd w:id="97"/>
    </w:p>
    <w:p w14:paraId="13016A1D">
      <w:pPr>
        <w:spacing w:line="560" w:lineRule="exact"/>
        <w:ind w:firstLine="64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坚持和发展新时代“枫桥经验”</w:t>
      </w:r>
      <w:r>
        <w:rPr>
          <w:rFonts w:hint="default" w:ascii="Times New Roman" w:hAnsi="Times New Roman" w:cs="Times New Roman"/>
          <w:color w:val="000000" w:themeColor="text1"/>
          <w:highlight w:val="none"/>
          <w14:textFill>
            <w14:solidFill>
              <w14:schemeClr w14:val="tx1"/>
            </w14:solidFill>
          </w14:textFill>
        </w:rPr>
        <w:t>，完善矛盾纠纷多元化解机制，深化信访“三色预警”机制，完善人民、行政、司法三调解联动工作体系。推进信访工作法治化，提升信访代办质效。全面推进区、镇两级综治中心规范化建设和实战化运行。健全社会安全稳定风险预测预警体系。优化“12345热线+网格”服务，推动“未诉先办”。</w:t>
      </w:r>
      <w:r>
        <w:rPr>
          <w:rFonts w:hint="default" w:ascii="Times New Roman" w:hAnsi="Times New Roman" w:cs="Times New Roman"/>
          <w:b/>
          <w:bCs/>
          <w:color w:val="000000" w:themeColor="text1"/>
          <w:highlight w:val="none"/>
          <w14:textFill>
            <w14:solidFill>
              <w14:schemeClr w14:val="tx1"/>
            </w14:solidFill>
          </w14:textFill>
        </w:rPr>
        <w:t>持续完善基层微治理机制，</w:t>
      </w:r>
      <w:r>
        <w:rPr>
          <w:rFonts w:hint="default" w:ascii="Times New Roman" w:hAnsi="Times New Roman" w:cs="Times New Roman"/>
          <w:color w:val="000000" w:themeColor="text1"/>
          <w:highlight w:val="none"/>
          <w14:textFill>
            <w14:solidFill>
              <w14:schemeClr w14:val="tx1"/>
            </w14:solidFill>
          </w14:textFill>
        </w:rPr>
        <w:t>发挥市民公约、村规民约等作用，加强家庭家教家风建设，推进移风易俗</w:t>
      </w:r>
      <w:r>
        <w:rPr>
          <w:rFonts w:hint="default" w:ascii="Times New Roman" w:hAnsi="Times New Roman" w:cs="Times New Roman"/>
          <w:b/>
          <w:bCs/>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完善凝聚服务群众工作机制，发展志愿服务，加强社会工作者队伍建设，健全社会心理服务体系和危机干预机制。推动组织体系向基层延伸，整合各类网格实现“多网合一、一网统筹”，引导多元力量常态化参与网格管理服务。构建“一核心三矩阵”微治理共同体，提升复杂问题处置效率，推动“需求、资源、项目”三清单对接，精准匹配群众需求。</w:t>
      </w:r>
      <w:r>
        <w:rPr>
          <w:rFonts w:hint="default" w:ascii="Times New Roman" w:hAnsi="Times New Roman" w:cs="Times New Roman"/>
          <w:b/>
          <w:bCs/>
          <w:color w:val="000000" w:themeColor="text1"/>
          <w:highlight w:val="none"/>
          <w14:textFill>
            <w14:solidFill>
              <w14:schemeClr w14:val="tx1"/>
            </w14:solidFill>
          </w14:textFill>
        </w:rPr>
        <w:t xml:space="preserve"> </w:t>
      </w:r>
    </w:p>
    <w:p w14:paraId="06F188EB">
      <w:pPr>
        <w:spacing w:line="560" w:lineRule="exact"/>
        <w:ind w:firstLine="0" w:firstLineChars="0"/>
        <w:jc w:val="center"/>
        <w:outlineLvl w:val="0"/>
        <w:rPr>
          <w:rFonts w:hint="default" w:ascii="Times New Roman" w:hAnsi="Times New Roman" w:eastAsia="黑体" w:cs="Times New Roman"/>
          <w:color w:val="000000" w:themeColor="text1"/>
          <w:szCs w:val="32"/>
          <w:highlight w:val="none"/>
          <w14:textFill>
            <w14:solidFill>
              <w14:schemeClr w14:val="tx1"/>
            </w14:solidFill>
          </w14:textFill>
        </w:rPr>
      </w:pPr>
      <w:bookmarkStart w:id="98" w:name="_Toc9535"/>
      <w:r>
        <w:rPr>
          <w:rFonts w:hint="default" w:ascii="Times New Roman" w:hAnsi="Times New Roman" w:eastAsia="黑体" w:cs="Times New Roman"/>
          <w:color w:val="000000" w:themeColor="text1"/>
          <w:szCs w:val="32"/>
          <w:highlight w:val="none"/>
          <w14:textFill>
            <w14:solidFill>
              <w14:schemeClr w14:val="tx1"/>
            </w14:solidFill>
          </w14:textFill>
        </w:rPr>
        <w:t>第十一章 健全实施机制，保障规划顺利实施</w:t>
      </w:r>
      <w:bookmarkEnd w:id="98"/>
    </w:p>
    <w:p w14:paraId="564E95A4">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充分发挥党总揽全局、协调各方的领导核心作用，最大程度激发各类主体的活力和创造力，形成全区各族人民全面推进社会主义现代化建设的合力，保障本规划有效实施。 </w:t>
      </w:r>
    </w:p>
    <w:p w14:paraId="1FCF8D38">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99" w:name="_Toc1620"/>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第一节 健全党的领导工作机制</w:t>
      </w:r>
      <w:bookmarkEnd w:id="99"/>
    </w:p>
    <w:p w14:paraId="7869729C">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 xml:space="preserve">持续用习近平新时代中国特色社会主义思想统一思想、统一意志、统一行动，提高政治判断力、政治领悟力、政治执行力，引导全区党员干部深刻领悟“两个确立”的决定性意义，切实增强“四个意识”、坚定“四个自信”、做到“两个维护”。严格落实“第一议题”等制度，健全以学铸魂、以学增智、以学正风、以学促干长效机制，推动理论武装走深走实。健全落实习近平总书记重要讲话重要指示精神和党中央重大决策部署全链条、闭环式工作机制，完善贯彻情况“回头看”和报告、通报制度。严明政治纪律和政治规矩，严格执行重大事项请示报告制度，强化政治监督和政治巡察。 </w:t>
      </w:r>
      <w:bookmarkStart w:id="100" w:name="_Toc5611"/>
    </w:p>
    <w:p w14:paraId="005EBFA4">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第二节 全面加强干部队伍和基层党组织建设</w:t>
      </w:r>
      <w:bookmarkEnd w:id="100"/>
      <w:r>
        <w:rPr>
          <w:rFonts w:hint="default" w:ascii="Times New Roman" w:hAnsi="Times New Roman" w:eastAsia="方正楷体_GBK" w:cs="Times New Roman"/>
          <w:b/>
          <w:bCs/>
          <w:color w:val="000000" w:themeColor="text1"/>
          <w:szCs w:val="32"/>
          <w:highlight w:val="none"/>
          <w14:textFill>
            <w14:solidFill>
              <w14:schemeClr w14:val="tx1"/>
            </w14:solidFill>
          </w14:textFill>
        </w:rPr>
        <w:t xml:space="preserve"> </w:t>
      </w:r>
    </w:p>
    <w:p w14:paraId="4DEA9885">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坚持正确用人导向，始终把政治标准放在首位，鲜明树立重实干、重实绩、重担当的选人用人导向，完善干部考核评价机制，调整不胜任现职干部，推进领导干部能上能下常态化。强化教育培训和实践历练，推动干部大讲学习、深入调研、真抓实干、清正廉洁，增强推进现代化建设本领。注重在项目建设、招商引资、乡村振兴、信访维稳等急难险重任务一线考察识别、培养锻炼和选拔使用干部，充分激发干部队伍干事创业积极性、主动性、创造性。统筹抓好传统和新兴领域党的建设，优化党员教育管理和发挥先锋模范作用的常态化机制，以点带面打造更多立得住、叫得响的党建品牌，切实把党建优势转化为发展优势、治理效能和民生实效。</w:t>
      </w:r>
    </w:p>
    <w:p w14:paraId="3BEA0B06">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101" w:name="_Toc18580"/>
      <w:r>
        <w:rPr>
          <w:rFonts w:hint="default" w:ascii="Times New Roman" w:hAnsi="Times New Roman" w:eastAsia="方正楷体_GBK" w:cs="Times New Roman"/>
          <w:b/>
          <w:bCs/>
          <w:color w:val="000000" w:themeColor="text1"/>
          <w:szCs w:val="32"/>
          <w:highlight w:val="none"/>
          <w14:textFill>
            <w14:solidFill>
              <w14:schemeClr w14:val="tx1"/>
            </w14:solidFill>
          </w14:textFill>
        </w:rPr>
        <w:t>第三节 持续涵养风清气正政治生态</w:t>
      </w:r>
      <w:bookmarkEnd w:id="101"/>
    </w:p>
    <w:p w14:paraId="1CB5ABD7">
      <w:pPr>
        <w:spacing w:line="560" w:lineRule="exact"/>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锲而不舍落实中央八项规定精神，从严纠治“四风”，严肃查处顶风违纪行为，推进作风建设常态化长效化，以优良党风政风带动社风民风。大力弘扬务实之风、清廉之风、俭朴之风，教育引导党员干部牢固树立正确的权力观、政绩观、事业观，真正做到秉公用权、依法用权、廉洁用权。认真落实“三个区分开来”，严格执行容错纠错减责免责办法，把从严管理监督和鼓励担当作为统一起来，督促党员干部以攻坚克难、锐意进取的精神破解难题，切实增强“报账意识”“交卷意识”，以实实在在的工作成效展现新气象、新作为。加强人大依法、政协民主、纪检监察等监督贯通协调，完善整改“一条线”机制。坚定不移惩治腐败，深入推进群众身边不正之风和腐败问题集中整治，坚持无禁区、全覆盖、零容忍，一体推进不敢腐、不能腐、不想腐，推动全面从严治党向纵深发展，构建风清气正的政治生态。</w:t>
      </w:r>
    </w:p>
    <w:p w14:paraId="008E159A">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102" w:name="_Toc24187"/>
      <w:r>
        <w:rPr>
          <w:rFonts w:hint="default" w:ascii="Times New Roman" w:hAnsi="Times New Roman" w:eastAsia="方正楷体_GBK" w:cs="Times New Roman"/>
          <w:b/>
          <w:bCs/>
          <w:color w:val="000000" w:themeColor="text1"/>
          <w:szCs w:val="32"/>
          <w:highlight w:val="none"/>
          <w14:textFill>
            <w14:solidFill>
              <w14:schemeClr w14:val="tx1"/>
            </w14:solidFill>
          </w14:textFill>
        </w:rPr>
        <w:t>第四节 健全规划落实机制</w:t>
      </w:r>
      <w:bookmarkEnd w:id="102"/>
    </w:p>
    <w:p w14:paraId="65DF54CA">
      <w:pPr>
        <w:spacing w:line="560" w:lineRule="exact"/>
        <w:ind w:firstLine="64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发挥规划战略导向作用</w:t>
      </w:r>
      <w:r>
        <w:rPr>
          <w:rFonts w:hint="default" w:ascii="Times New Roman" w:hAnsi="Times New Roman" w:cs="Times New Roman"/>
          <w:color w:val="000000" w:themeColor="text1"/>
          <w:highlight w:val="none"/>
          <w14:textFill>
            <w14:solidFill>
              <w14:schemeClr w14:val="tx1"/>
            </w14:solidFill>
          </w14:textFill>
        </w:rPr>
        <w:t>。严格落实《中华人民共和国国家发展规划法》，牢牢把握以规划引领经济社会发展是党治国理政的重要方式，是中国特色社会主义发展模式的重要体现。科学制定全区“十五五”规划纲要，形成定位准确、边界清晰、功能协调、有机衔接的规划体系。各部门要严格遵循下级规划服务上级规划等原则，制定三年行动计划、年度计划、安排政府投资和财政支出预算、制定特定领域相关政策，严格落实本规划的战略意图和各项主要任务，确保在主要目标设定、发展方向选择、总体空间布局、重大政策安排以及风险防控机制等方面保持高度协调和内在一致性，维护规划的严肃性和权威性，形成规划发展合力，</w:t>
      </w:r>
      <w:r>
        <w:rPr>
          <w:rFonts w:hint="default" w:ascii="Times New Roman" w:hAnsi="Times New Roman" w:cs="Times New Roman"/>
          <w:color w:val="000000" w:themeColor="text1"/>
          <w:szCs w:val="32"/>
          <w:highlight w:val="none"/>
          <w14:textFill>
            <w14:solidFill>
              <w14:schemeClr w14:val="tx1"/>
            </w14:solidFill>
          </w14:textFill>
        </w:rPr>
        <w:t>提高规划实施效率。要进一步健全部门单位间工作协同机制，加强规划评估监测、跟踪问效、督促检查，确保各项目标任务圆满完成。</w:t>
      </w:r>
    </w:p>
    <w:p w14:paraId="43C4AACA">
      <w:pPr>
        <w:spacing w:line="560" w:lineRule="exact"/>
        <w:ind w:firstLine="64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细化规划实施责任。</w:t>
      </w:r>
      <w:r>
        <w:rPr>
          <w:rFonts w:hint="default" w:ascii="Times New Roman" w:hAnsi="Times New Roman" w:cs="Times New Roman"/>
          <w:color w:val="000000" w:themeColor="text1"/>
          <w:highlight w:val="none"/>
          <w14:textFill>
            <w14:solidFill>
              <w14:schemeClr w14:val="tx1"/>
            </w14:solidFill>
          </w14:textFill>
        </w:rPr>
        <w:t>区政府制定具体实施方案，明确实施进度和目标任务，开展实施情况动态监测、中期评估和总结评估。健全规划实施的纪检监察和审计监督，完善实施的公众参与和社会监督。本规划提出的发展目标、重点任务和重大项目，应纳入年度计划，合理设置年度目标，做好年度间综合平衡，确保规划目标任务有计划、按步骤得到落实。</w:t>
      </w:r>
    </w:p>
    <w:p w14:paraId="6AD8F1C7">
      <w:pPr>
        <w:spacing w:before="217" w:beforeLines="50" w:after="217" w:afterLines="50" w:line="560" w:lineRule="exact"/>
        <w:ind w:firstLine="643"/>
        <w:jc w:val="left"/>
        <w:outlineLvl w:val="0"/>
        <w:rPr>
          <w:rFonts w:hint="default" w:ascii="Times New Roman" w:hAnsi="Times New Roman" w:eastAsia="方正楷体_GBK" w:cs="Times New Roman"/>
          <w:b/>
          <w:bCs/>
          <w:color w:val="000000" w:themeColor="text1"/>
          <w:szCs w:val="32"/>
          <w:highlight w:val="none"/>
          <w14:textFill>
            <w14:solidFill>
              <w14:schemeClr w14:val="tx1"/>
            </w14:solidFill>
          </w14:textFill>
        </w:rPr>
      </w:pPr>
      <w:bookmarkStart w:id="103" w:name="_Toc23692"/>
      <w:r>
        <w:rPr>
          <w:rFonts w:hint="default" w:ascii="Times New Roman" w:hAnsi="Times New Roman" w:eastAsia="方正楷体_GBK" w:cs="Times New Roman"/>
          <w:b/>
          <w:bCs/>
          <w:color w:val="000000" w:themeColor="text1"/>
          <w:szCs w:val="32"/>
          <w:highlight w:val="none"/>
          <w14:textFill>
            <w14:solidFill>
              <w14:schemeClr w14:val="tx1"/>
            </w14:solidFill>
          </w14:textFill>
        </w:rPr>
        <w:t>第五节 强化规划项目支撑</w:t>
      </w:r>
      <w:bookmarkEnd w:id="103"/>
    </w:p>
    <w:p w14:paraId="1FC05CCD">
      <w:pPr>
        <w:spacing w:line="560" w:lineRule="exact"/>
        <w:ind w:firstLine="64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积极推动项目落地。</w:t>
      </w:r>
      <w:r>
        <w:rPr>
          <w:rFonts w:hint="default" w:ascii="Times New Roman" w:hAnsi="Times New Roman" w:cs="Times New Roman"/>
          <w:color w:val="000000" w:themeColor="text1"/>
          <w:highlight w:val="none"/>
          <w14:textFill>
            <w14:solidFill>
              <w14:schemeClr w14:val="tx1"/>
            </w14:solidFill>
          </w14:textFill>
        </w:rPr>
        <w:t>坚持以规划确定项目、以项目落实规划，组织实施一批事关全局发展的重大项目，谋划布局一批事关长远发展的支撑项目，强化年度重大项目计划与发展规划的衔接，确保重大项目的空间分布和时序安排协调有序。</w:t>
      </w:r>
    </w:p>
    <w:p w14:paraId="31B4E18A">
      <w:pPr>
        <w:spacing w:line="560" w:lineRule="exact"/>
        <w:ind w:firstLine="64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强化各类要素保障</w:t>
      </w:r>
      <w:r>
        <w:rPr>
          <w:rFonts w:hint="default" w:ascii="Times New Roman" w:hAnsi="Times New Roman" w:cs="Times New Roman"/>
          <w:color w:val="000000" w:themeColor="text1"/>
          <w:highlight w:val="none"/>
          <w14:textFill>
            <w14:solidFill>
              <w14:schemeClr w14:val="tx1"/>
            </w14:solidFill>
          </w14:textFill>
        </w:rPr>
        <w:t>。完善“项目跟着规划走、要素跟着项目走”投资保障机制，研究制定规划实施的财政、金融、税收、产业、土地、人口、环保等相关配套政策，合理引导社会资本投向，鼓励银行等金融机构重点支持重大项目建设。加大土地等资源要素供给支持力度，优先保障重大项目落地。</w:t>
      </w:r>
    </w:p>
    <w:p w14:paraId="033D4666">
      <w:pPr>
        <w:spacing w:line="560" w:lineRule="exact"/>
        <w:ind w:firstLine="64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切实做好项目管理</w:t>
      </w:r>
      <w:r>
        <w:rPr>
          <w:rFonts w:hint="default" w:ascii="Times New Roman" w:hAnsi="Times New Roman" w:cs="Times New Roman"/>
          <w:color w:val="000000" w:themeColor="text1"/>
          <w:highlight w:val="none"/>
          <w14:textFill>
            <w14:solidFill>
              <w14:schemeClr w14:val="tx1"/>
            </w14:solidFill>
          </w14:textFill>
        </w:rPr>
        <w:t>。落实重大项目建设全生命周期管理制度，严格建设程序。完善重大项目储备机制，形成建设一批、竣工一批、启动一批、储备一批的滚动机制。强化重大项目前期论证，完善重大项目联动协调机制，加快项目落地。健全政府投资管理制度，强化项目监管，完善后评价制度。</w:t>
      </w:r>
    </w:p>
    <w:p w14:paraId="7A4BADB2">
      <w:pPr>
        <w:widowControl/>
        <w:spacing w:line="560" w:lineRule="exact"/>
        <w:ind w:firstLine="0" w:firstLineChars="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实现“十五五”规划目标，意义重大、任务艰巨、使命光荣。全区各级党组织和党员干部要更加紧密地团结在以习近平同志为核心的党中央周围，坚定不移落实党中央决策部署和自治区党委、市委的工作要求，锐意进取、顽强拼搏、真抓实干，为书写中国式现代化东河新篇章而不懈奋斗。</w:t>
      </w:r>
    </w:p>
    <w:sectPr>
      <w:footerReference r:id="rId17" w:type="default"/>
      <w:pgSz w:w="11906" w:h="16838"/>
      <w:pgMar w:top="1440" w:right="1800" w:bottom="1440" w:left="1800" w:header="1020" w:footer="1247" w:gutter="0"/>
      <w:pgNumType w:start="1"/>
      <w:cols w:space="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F0BE98-A55E-4D6C-9E13-25DA8A0465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28B536E-728A-4D83-8A40-B7A7DAD052BD}"/>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embedRegular r:id="rId3" w:fontKey="{1BB067A8-C54C-43DB-BF4D-8A2630FF225D}"/>
  </w:font>
  <w:font w:name="方正小标宋_GBK">
    <w:panose1 w:val="03000509000000000000"/>
    <w:charset w:val="86"/>
    <w:family w:val="auto"/>
    <w:pitch w:val="default"/>
    <w:sig w:usb0="00000001" w:usb1="080E0000" w:usb2="00000000" w:usb3="00000000" w:csb0="00040000" w:csb1="00000000"/>
    <w:embedRegular r:id="rId4" w:fontKey="{CF5B9157-8D53-4BB1-8E3F-27E413E878BB}"/>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5" w:fontKey="{44C0C9EC-273C-4EF4-BD9B-3133BDF2299D}"/>
  </w:font>
  <w:font w:name="方正黑体_GBK">
    <w:panose1 w:val="03000509000000000000"/>
    <w:charset w:val="86"/>
    <w:family w:val="auto"/>
    <w:pitch w:val="default"/>
    <w:sig w:usb0="00000001" w:usb1="080E0000" w:usb2="00000000" w:usb3="00000000" w:csb0="00040000" w:csb1="00000000"/>
    <w:embedRegular r:id="rId6" w:fontKey="{F93549F7-6F8D-49B0-B3AF-19E41F3749DB}"/>
  </w:font>
  <w:font w:name="楷体_GB2312">
    <w:panose1 w:val="02010609030101010101"/>
    <w:charset w:val="86"/>
    <w:family w:val="modern"/>
    <w:pitch w:val="default"/>
    <w:sig w:usb0="00000001" w:usb1="080E0000" w:usb2="00000000" w:usb3="00000000" w:csb0="00040000" w:csb1="00000000"/>
    <w:embedRegular r:id="rId7" w:fontKey="{2F7CEF79-97C2-4767-9F7E-6D419CF42219}"/>
  </w:font>
  <w:font w:name="仿宋">
    <w:panose1 w:val="02010609060101010101"/>
    <w:charset w:val="86"/>
    <w:family w:val="modern"/>
    <w:pitch w:val="default"/>
    <w:sig w:usb0="800002BF" w:usb1="38CF7CFA" w:usb2="00000016" w:usb3="00000000" w:csb0="00040001" w:csb1="00000000"/>
    <w:embedRegular r:id="rId8" w:fontKey="{CD1FACD3-D8C1-461C-840A-E337C322C7C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D4DE">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730A">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9604">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8DBDB">
    <w:pPr>
      <w:pStyle w:val="17"/>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9F2E4">
    <w:pPr>
      <w:pStyle w:val="17"/>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D1F0">
    <w:pPr>
      <w:pStyle w:val="17"/>
      <w:ind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DA5B">
    <w:pPr>
      <w:pStyle w:val="17"/>
      <w:ind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17A60">
    <w:pPr>
      <w:pStyle w:val="17"/>
      <w:ind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7803">
    <w:pPr>
      <w:pStyle w:val="17"/>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18EAB">
                          <w:pPr>
                            <w:pStyle w:val="12"/>
                            <w:ind w:firstLine="0" w:firstLineChars="0"/>
                            <w:rPr>
                              <w:rFonts w:hint="eastAsia" w:ascii="宋体" w:hAnsi="宋体" w:eastAsia="宋体" w:cs="Times New Roman"/>
                              <w:sz w:val="28"/>
                              <w:szCs w:val="28"/>
                            </w:rPr>
                          </w:pPr>
                          <w:r>
                            <w:rPr>
                              <w:rFonts w:ascii="宋体" w:hAnsi="宋体" w:eastAsia="宋体" w:cs="Times New Roman"/>
                              <w:sz w:val="24"/>
                              <w:szCs w:val="24"/>
                            </w:rPr>
                            <w:t>—　</w:t>
                          </w:r>
                          <w:r>
                            <w:rPr>
                              <w:rFonts w:ascii="宋体" w:hAnsi="宋体" w:eastAsia="宋体" w:cs="Times New Roman"/>
                              <w:sz w:val="24"/>
                              <w:szCs w:val="24"/>
                            </w:rPr>
                            <w:fldChar w:fldCharType="begin"/>
                          </w:r>
                          <w:r>
                            <w:rPr>
                              <w:rFonts w:ascii="宋体" w:hAnsi="宋体" w:eastAsia="宋体" w:cs="Times New Roman"/>
                              <w:sz w:val="24"/>
                              <w:szCs w:val="24"/>
                            </w:rPr>
                            <w:instrText xml:space="preserve"> PAGE  \* MERGEFORMAT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t>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BC18EAB">
                    <w:pPr>
                      <w:pStyle w:val="12"/>
                      <w:ind w:firstLine="0" w:firstLineChars="0"/>
                      <w:rPr>
                        <w:rFonts w:hint="eastAsia" w:ascii="宋体" w:hAnsi="宋体" w:eastAsia="宋体" w:cs="Times New Roman"/>
                        <w:sz w:val="28"/>
                        <w:szCs w:val="28"/>
                      </w:rPr>
                    </w:pPr>
                    <w:r>
                      <w:rPr>
                        <w:rFonts w:ascii="宋体" w:hAnsi="宋体" w:eastAsia="宋体" w:cs="Times New Roman"/>
                        <w:sz w:val="24"/>
                        <w:szCs w:val="24"/>
                      </w:rPr>
                      <w:t>—　</w:t>
                    </w:r>
                    <w:r>
                      <w:rPr>
                        <w:rFonts w:ascii="宋体" w:hAnsi="宋体" w:eastAsia="宋体" w:cs="Times New Roman"/>
                        <w:sz w:val="24"/>
                        <w:szCs w:val="24"/>
                      </w:rPr>
                      <w:fldChar w:fldCharType="begin"/>
                    </w:r>
                    <w:r>
                      <w:rPr>
                        <w:rFonts w:ascii="宋体" w:hAnsi="宋体" w:eastAsia="宋体" w:cs="Times New Roman"/>
                        <w:sz w:val="24"/>
                        <w:szCs w:val="24"/>
                      </w:rPr>
                      <w:instrText xml:space="preserve"> PAGE  \* MERGEFORMAT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t>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724BE">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0134C">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E1DA">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4F30">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F58F7"/>
    <w:multiLevelType w:val="multilevel"/>
    <w:tmpl w:val="314F58F7"/>
    <w:lvl w:ilvl="0" w:tentative="0">
      <w:start w:val="1"/>
      <w:numFmt w:val="chineseCountingThousand"/>
      <w:pStyle w:val="36"/>
      <w:lvlText w:val="第%1章 "/>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2A352B0"/>
    <w:multiLevelType w:val="multilevel"/>
    <w:tmpl w:val="32A352B0"/>
    <w:lvl w:ilvl="0" w:tentative="0">
      <w:start w:val="1"/>
      <w:numFmt w:val="chineseCountingThousand"/>
      <w:pStyle w:val="40"/>
      <w:lvlText w:val="第%1节 "/>
      <w:lvlJc w:val="left"/>
      <w:pPr>
        <w:ind w:left="2680" w:hanging="440"/>
      </w:pPr>
      <w:rPr>
        <w:rFonts w:hint="eastAsia"/>
      </w:rPr>
    </w:lvl>
    <w:lvl w:ilvl="1" w:tentative="0">
      <w:start w:val="1"/>
      <w:numFmt w:val="japaneseCounting"/>
      <w:lvlText w:val="%2、"/>
      <w:lvlJc w:val="left"/>
      <w:pPr>
        <w:ind w:left="3400" w:hanging="720"/>
      </w:pPr>
      <w:rPr>
        <w:rFonts w:hint="default"/>
      </w:rPr>
    </w:lvl>
    <w:lvl w:ilvl="2" w:tentative="0">
      <w:start w:val="1"/>
      <w:numFmt w:val="lowerRoman"/>
      <w:lvlText w:val="%3."/>
      <w:lvlJc w:val="right"/>
      <w:pPr>
        <w:ind w:left="3560" w:hanging="440"/>
      </w:pPr>
    </w:lvl>
    <w:lvl w:ilvl="3" w:tentative="0">
      <w:start w:val="1"/>
      <w:numFmt w:val="decimal"/>
      <w:lvlText w:val="%4."/>
      <w:lvlJc w:val="left"/>
      <w:pPr>
        <w:ind w:left="4000" w:hanging="440"/>
      </w:pPr>
    </w:lvl>
    <w:lvl w:ilvl="4" w:tentative="0">
      <w:start w:val="1"/>
      <w:numFmt w:val="lowerLetter"/>
      <w:lvlText w:val="%5)"/>
      <w:lvlJc w:val="left"/>
      <w:pPr>
        <w:ind w:left="4440" w:hanging="440"/>
      </w:pPr>
    </w:lvl>
    <w:lvl w:ilvl="5" w:tentative="0">
      <w:start w:val="1"/>
      <w:numFmt w:val="lowerRoman"/>
      <w:lvlText w:val="%6."/>
      <w:lvlJc w:val="right"/>
      <w:pPr>
        <w:ind w:left="4880" w:hanging="440"/>
      </w:pPr>
    </w:lvl>
    <w:lvl w:ilvl="6" w:tentative="0">
      <w:start w:val="1"/>
      <w:numFmt w:val="decimal"/>
      <w:lvlText w:val="%7."/>
      <w:lvlJc w:val="left"/>
      <w:pPr>
        <w:ind w:left="5320" w:hanging="440"/>
      </w:pPr>
    </w:lvl>
    <w:lvl w:ilvl="7" w:tentative="0">
      <w:start w:val="1"/>
      <w:numFmt w:val="lowerLetter"/>
      <w:lvlText w:val="%8)"/>
      <w:lvlJc w:val="left"/>
      <w:pPr>
        <w:ind w:left="5760" w:hanging="440"/>
      </w:pPr>
    </w:lvl>
    <w:lvl w:ilvl="8" w:tentative="0">
      <w:start w:val="1"/>
      <w:numFmt w:val="lowerRoman"/>
      <w:lvlText w:val="%9."/>
      <w:lvlJc w:val="right"/>
      <w:pPr>
        <w:ind w:left="6200" w:hanging="440"/>
      </w:pPr>
    </w:lvl>
  </w:abstractNum>
  <w:abstractNum w:abstractNumId="2">
    <w:nsid w:val="7D353B01"/>
    <w:multiLevelType w:val="multilevel"/>
    <w:tmpl w:val="7D353B01"/>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080" w:hanging="440"/>
      </w:pPr>
      <w:rPr>
        <w:rFonts w:hint="eastAsia"/>
      </w:rPr>
    </w:lvl>
    <w:lvl w:ilvl="2" w:tentative="0">
      <w:start w:val="1"/>
      <w:numFmt w:val="chineseCountingThousand"/>
      <w:pStyle w:val="41"/>
      <w:lvlText w:val="%3、"/>
      <w:lvlJc w:val="right"/>
      <w:pPr>
        <w:ind w:left="-641" w:firstLine="641"/>
      </w:pPr>
      <w:rPr>
        <w:rFonts w:hint="eastAsia"/>
      </w:rPr>
    </w:lvl>
    <w:lvl w:ilvl="3" w:tentative="0">
      <w:start w:val="1"/>
      <w:numFmt w:val="decimal"/>
      <w:lvlText w:val="%4."/>
      <w:lvlJc w:val="left"/>
      <w:pPr>
        <w:ind w:left="1960" w:hanging="440"/>
      </w:pPr>
      <w:rPr>
        <w:rFonts w:hint="eastAsia"/>
      </w:rPr>
    </w:lvl>
    <w:lvl w:ilvl="4" w:tentative="0">
      <w:start w:val="1"/>
      <w:numFmt w:val="lowerLetter"/>
      <w:lvlText w:val="%5)"/>
      <w:lvlJc w:val="left"/>
      <w:pPr>
        <w:ind w:left="2400" w:hanging="440"/>
      </w:pPr>
      <w:rPr>
        <w:rFonts w:hint="eastAsia"/>
      </w:rPr>
    </w:lvl>
    <w:lvl w:ilvl="5" w:tentative="0">
      <w:start w:val="1"/>
      <w:numFmt w:val="lowerRoman"/>
      <w:lvlText w:val="%6."/>
      <w:lvlJc w:val="right"/>
      <w:pPr>
        <w:ind w:left="2840" w:hanging="440"/>
      </w:pPr>
      <w:rPr>
        <w:rFonts w:hint="eastAsia"/>
      </w:rPr>
    </w:lvl>
    <w:lvl w:ilvl="6" w:tentative="0">
      <w:start w:val="1"/>
      <w:numFmt w:val="decimal"/>
      <w:lvlText w:val="%7."/>
      <w:lvlJc w:val="left"/>
      <w:pPr>
        <w:ind w:left="3280" w:hanging="440"/>
      </w:pPr>
      <w:rPr>
        <w:rFonts w:hint="eastAsia"/>
      </w:rPr>
    </w:lvl>
    <w:lvl w:ilvl="7" w:tentative="0">
      <w:start w:val="1"/>
      <w:numFmt w:val="lowerLetter"/>
      <w:lvlText w:val="%8)"/>
      <w:lvlJc w:val="left"/>
      <w:pPr>
        <w:ind w:left="3720" w:hanging="440"/>
      </w:pPr>
      <w:rPr>
        <w:rFonts w:hint="eastAsia"/>
      </w:rPr>
    </w:lvl>
    <w:lvl w:ilvl="8" w:tentative="0">
      <w:start w:val="1"/>
      <w:numFmt w:val="lowerRoman"/>
      <w:lvlText w:val="%9."/>
      <w:lvlJc w:val="right"/>
      <w:pPr>
        <w:ind w:left="4160" w:hanging="44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YWQ0ODE1OGUxOWUzZDQwZWVlMDU2MmU0ZjczNDQifQ=="/>
  </w:docVars>
  <w:rsids>
    <w:rsidRoot w:val="00172A27"/>
    <w:rsid w:val="00000447"/>
    <w:rsid w:val="00001689"/>
    <w:rsid w:val="00002A8A"/>
    <w:rsid w:val="00003949"/>
    <w:rsid w:val="000064BC"/>
    <w:rsid w:val="00012724"/>
    <w:rsid w:val="00014249"/>
    <w:rsid w:val="00014404"/>
    <w:rsid w:val="0001442A"/>
    <w:rsid w:val="00014DF2"/>
    <w:rsid w:val="00015E71"/>
    <w:rsid w:val="00016382"/>
    <w:rsid w:val="00016C7D"/>
    <w:rsid w:val="00017845"/>
    <w:rsid w:val="000203D1"/>
    <w:rsid w:val="00021ADA"/>
    <w:rsid w:val="00021C9B"/>
    <w:rsid w:val="000366FC"/>
    <w:rsid w:val="00036722"/>
    <w:rsid w:val="0003699F"/>
    <w:rsid w:val="00037210"/>
    <w:rsid w:val="00042159"/>
    <w:rsid w:val="00045D12"/>
    <w:rsid w:val="00046AFF"/>
    <w:rsid w:val="00046CD7"/>
    <w:rsid w:val="0005008D"/>
    <w:rsid w:val="00053392"/>
    <w:rsid w:val="0005541C"/>
    <w:rsid w:val="00055C8C"/>
    <w:rsid w:val="00056D58"/>
    <w:rsid w:val="000574F3"/>
    <w:rsid w:val="00060C9D"/>
    <w:rsid w:val="000617A7"/>
    <w:rsid w:val="00061CF4"/>
    <w:rsid w:val="00062BEB"/>
    <w:rsid w:val="00065C54"/>
    <w:rsid w:val="000706FE"/>
    <w:rsid w:val="00073263"/>
    <w:rsid w:val="00073264"/>
    <w:rsid w:val="00073D77"/>
    <w:rsid w:val="000742FE"/>
    <w:rsid w:val="00075AE1"/>
    <w:rsid w:val="0007649A"/>
    <w:rsid w:val="00077ED3"/>
    <w:rsid w:val="00080D59"/>
    <w:rsid w:val="00081722"/>
    <w:rsid w:val="00085233"/>
    <w:rsid w:val="00085A62"/>
    <w:rsid w:val="00087F28"/>
    <w:rsid w:val="00091900"/>
    <w:rsid w:val="000931DE"/>
    <w:rsid w:val="00093C5B"/>
    <w:rsid w:val="00095D3A"/>
    <w:rsid w:val="000971C7"/>
    <w:rsid w:val="00097847"/>
    <w:rsid w:val="000A1B81"/>
    <w:rsid w:val="000A29D0"/>
    <w:rsid w:val="000A3684"/>
    <w:rsid w:val="000A44D6"/>
    <w:rsid w:val="000A4D52"/>
    <w:rsid w:val="000A6268"/>
    <w:rsid w:val="000A6CBC"/>
    <w:rsid w:val="000B16D9"/>
    <w:rsid w:val="000C0F61"/>
    <w:rsid w:val="000C1C4C"/>
    <w:rsid w:val="000C3A97"/>
    <w:rsid w:val="000C55F3"/>
    <w:rsid w:val="000C5B61"/>
    <w:rsid w:val="000D06EA"/>
    <w:rsid w:val="000D18E8"/>
    <w:rsid w:val="000D2CD5"/>
    <w:rsid w:val="000D302A"/>
    <w:rsid w:val="000D7111"/>
    <w:rsid w:val="000E224A"/>
    <w:rsid w:val="000E2902"/>
    <w:rsid w:val="000E2B36"/>
    <w:rsid w:val="000E3614"/>
    <w:rsid w:val="000E3AD5"/>
    <w:rsid w:val="000E55FA"/>
    <w:rsid w:val="000E5A66"/>
    <w:rsid w:val="000E6BDE"/>
    <w:rsid w:val="000F4487"/>
    <w:rsid w:val="000F5857"/>
    <w:rsid w:val="000F71A9"/>
    <w:rsid w:val="00100215"/>
    <w:rsid w:val="00100336"/>
    <w:rsid w:val="00100B06"/>
    <w:rsid w:val="0010409D"/>
    <w:rsid w:val="00106B96"/>
    <w:rsid w:val="00107065"/>
    <w:rsid w:val="001112CE"/>
    <w:rsid w:val="00112CFA"/>
    <w:rsid w:val="0011628E"/>
    <w:rsid w:val="00116695"/>
    <w:rsid w:val="00117DD7"/>
    <w:rsid w:val="00120C7C"/>
    <w:rsid w:val="00121020"/>
    <w:rsid w:val="0012256E"/>
    <w:rsid w:val="00131046"/>
    <w:rsid w:val="00134785"/>
    <w:rsid w:val="00136229"/>
    <w:rsid w:val="00136362"/>
    <w:rsid w:val="00141358"/>
    <w:rsid w:val="00141843"/>
    <w:rsid w:val="001424C5"/>
    <w:rsid w:val="00151D7E"/>
    <w:rsid w:val="00153DBB"/>
    <w:rsid w:val="001548B3"/>
    <w:rsid w:val="00154E3E"/>
    <w:rsid w:val="00156314"/>
    <w:rsid w:val="00164880"/>
    <w:rsid w:val="00165B4A"/>
    <w:rsid w:val="0016715C"/>
    <w:rsid w:val="00167A3C"/>
    <w:rsid w:val="00170699"/>
    <w:rsid w:val="001719F6"/>
    <w:rsid w:val="001726E3"/>
    <w:rsid w:val="001728C6"/>
    <w:rsid w:val="00172A27"/>
    <w:rsid w:val="0017624B"/>
    <w:rsid w:val="001763F5"/>
    <w:rsid w:val="00177F84"/>
    <w:rsid w:val="00181603"/>
    <w:rsid w:val="00185609"/>
    <w:rsid w:val="001927A0"/>
    <w:rsid w:val="00192CC6"/>
    <w:rsid w:val="00197FED"/>
    <w:rsid w:val="001A1958"/>
    <w:rsid w:val="001A3524"/>
    <w:rsid w:val="001A7982"/>
    <w:rsid w:val="001B214D"/>
    <w:rsid w:val="001B223C"/>
    <w:rsid w:val="001B2FDB"/>
    <w:rsid w:val="001B502A"/>
    <w:rsid w:val="001B5708"/>
    <w:rsid w:val="001B65ED"/>
    <w:rsid w:val="001B6E7C"/>
    <w:rsid w:val="001C09EC"/>
    <w:rsid w:val="001C13A6"/>
    <w:rsid w:val="001C17DE"/>
    <w:rsid w:val="001C4C91"/>
    <w:rsid w:val="001C50C7"/>
    <w:rsid w:val="001C5E94"/>
    <w:rsid w:val="001C6DB4"/>
    <w:rsid w:val="001D08D3"/>
    <w:rsid w:val="001D227C"/>
    <w:rsid w:val="001D4ED5"/>
    <w:rsid w:val="001D58A4"/>
    <w:rsid w:val="001D6A3D"/>
    <w:rsid w:val="001D7621"/>
    <w:rsid w:val="001E17FB"/>
    <w:rsid w:val="001E284E"/>
    <w:rsid w:val="001E6E43"/>
    <w:rsid w:val="001E71EE"/>
    <w:rsid w:val="001E773F"/>
    <w:rsid w:val="001F0655"/>
    <w:rsid w:val="001F2F12"/>
    <w:rsid w:val="001F33AA"/>
    <w:rsid w:val="001F4C26"/>
    <w:rsid w:val="00201A60"/>
    <w:rsid w:val="002037B9"/>
    <w:rsid w:val="00204B60"/>
    <w:rsid w:val="00213444"/>
    <w:rsid w:val="002172C4"/>
    <w:rsid w:val="00217A74"/>
    <w:rsid w:val="002226CE"/>
    <w:rsid w:val="00224555"/>
    <w:rsid w:val="0022797C"/>
    <w:rsid w:val="00227F16"/>
    <w:rsid w:val="00230345"/>
    <w:rsid w:val="00230EE6"/>
    <w:rsid w:val="00233439"/>
    <w:rsid w:val="00233F62"/>
    <w:rsid w:val="002343F6"/>
    <w:rsid w:val="002366F1"/>
    <w:rsid w:val="00240D59"/>
    <w:rsid w:val="00241A64"/>
    <w:rsid w:val="00244125"/>
    <w:rsid w:val="00244992"/>
    <w:rsid w:val="00245067"/>
    <w:rsid w:val="00246416"/>
    <w:rsid w:val="00260689"/>
    <w:rsid w:val="00263C2A"/>
    <w:rsid w:val="00266051"/>
    <w:rsid w:val="0026610F"/>
    <w:rsid w:val="00267158"/>
    <w:rsid w:val="00270D1C"/>
    <w:rsid w:val="00272E59"/>
    <w:rsid w:val="00272E89"/>
    <w:rsid w:val="00274211"/>
    <w:rsid w:val="002752F5"/>
    <w:rsid w:val="002771A1"/>
    <w:rsid w:val="00280A16"/>
    <w:rsid w:val="002821CB"/>
    <w:rsid w:val="0028411B"/>
    <w:rsid w:val="00286BBA"/>
    <w:rsid w:val="00287D95"/>
    <w:rsid w:val="002927DE"/>
    <w:rsid w:val="002929E0"/>
    <w:rsid w:val="00292A22"/>
    <w:rsid w:val="0029458F"/>
    <w:rsid w:val="00294DBD"/>
    <w:rsid w:val="00295575"/>
    <w:rsid w:val="002972E5"/>
    <w:rsid w:val="002A2CC1"/>
    <w:rsid w:val="002A2E45"/>
    <w:rsid w:val="002A489C"/>
    <w:rsid w:val="002A5E06"/>
    <w:rsid w:val="002A6C98"/>
    <w:rsid w:val="002B273C"/>
    <w:rsid w:val="002C002B"/>
    <w:rsid w:val="002C0B30"/>
    <w:rsid w:val="002C35F1"/>
    <w:rsid w:val="002C3C1F"/>
    <w:rsid w:val="002C6683"/>
    <w:rsid w:val="002C711D"/>
    <w:rsid w:val="002C764B"/>
    <w:rsid w:val="002D0E1C"/>
    <w:rsid w:val="002D1BE1"/>
    <w:rsid w:val="002D238B"/>
    <w:rsid w:val="002D2D43"/>
    <w:rsid w:val="002D589A"/>
    <w:rsid w:val="002D5AE6"/>
    <w:rsid w:val="002E3B6E"/>
    <w:rsid w:val="002E523B"/>
    <w:rsid w:val="002E5995"/>
    <w:rsid w:val="002E5A29"/>
    <w:rsid w:val="002F0EE9"/>
    <w:rsid w:val="002F22A9"/>
    <w:rsid w:val="002F5302"/>
    <w:rsid w:val="002F5A8E"/>
    <w:rsid w:val="002F68B8"/>
    <w:rsid w:val="003013DC"/>
    <w:rsid w:val="003013E8"/>
    <w:rsid w:val="00301974"/>
    <w:rsid w:val="00303ED7"/>
    <w:rsid w:val="0030629F"/>
    <w:rsid w:val="00306A7C"/>
    <w:rsid w:val="00306E19"/>
    <w:rsid w:val="00310CEB"/>
    <w:rsid w:val="0031329F"/>
    <w:rsid w:val="00313800"/>
    <w:rsid w:val="00313C42"/>
    <w:rsid w:val="003143EE"/>
    <w:rsid w:val="00314F09"/>
    <w:rsid w:val="00317384"/>
    <w:rsid w:val="0031792D"/>
    <w:rsid w:val="003179F5"/>
    <w:rsid w:val="00321445"/>
    <w:rsid w:val="00323933"/>
    <w:rsid w:val="003255C7"/>
    <w:rsid w:val="003268D3"/>
    <w:rsid w:val="003276BF"/>
    <w:rsid w:val="00332DEF"/>
    <w:rsid w:val="00333D9E"/>
    <w:rsid w:val="003357B9"/>
    <w:rsid w:val="00335A28"/>
    <w:rsid w:val="003371EF"/>
    <w:rsid w:val="00337EF1"/>
    <w:rsid w:val="003519F5"/>
    <w:rsid w:val="00357DBF"/>
    <w:rsid w:val="003712A5"/>
    <w:rsid w:val="00374261"/>
    <w:rsid w:val="00374776"/>
    <w:rsid w:val="003755E8"/>
    <w:rsid w:val="00380542"/>
    <w:rsid w:val="00381F03"/>
    <w:rsid w:val="0038253A"/>
    <w:rsid w:val="00383146"/>
    <w:rsid w:val="00385668"/>
    <w:rsid w:val="00385A6C"/>
    <w:rsid w:val="00387BB5"/>
    <w:rsid w:val="00390FA2"/>
    <w:rsid w:val="0039138A"/>
    <w:rsid w:val="00391821"/>
    <w:rsid w:val="003919E8"/>
    <w:rsid w:val="0039303A"/>
    <w:rsid w:val="00393239"/>
    <w:rsid w:val="0039562E"/>
    <w:rsid w:val="00396B14"/>
    <w:rsid w:val="00397938"/>
    <w:rsid w:val="003A1D93"/>
    <w:rsid w:val="003A22FC"/>
    <w:rsid w:val="003A58F7"/>
    <w:rsid w:val="003A5EBF"/>
    <w:rsid w:val="003A6986"/>
    <w:rsid w:val="003A69EC"/>
    <w:rsid w:val="003A719B"/>
    <w:rsid w:val="003B1DD0"/>
    <w:rsid w:val="003B45CF"/>
    <w:rsid w:val="003B4DC8"/>
    <w:rsid w:val="003B65E1"/>
    <w:rsid w:val="003C1680"/>
    <w:rsid w:val="003C1B02"/>
    <w:rsid w:val="003C62C6"/>
    <w:rsid w:val="003C7869"/>
    <w:rsid w:val="003D0D29"/>
    <w:rsid w:val="003D0FDB"/>
    <w:rsid w:val="003D1DAD"/>
    <w:rsid w:val="003D40AE"/>
    <w:rsid w:val="003E1364"/>
    <w:rsid w:val="003E3EB7"/>
    <w:rsid w:val="003E52A6"/>
    <w:rsid w:val="003E58B1"/>
    <w:rsid w:val="003E78F3"/>
    <w:rsid w:val="003F0E81"/>
    <w:rsid w:val="003F14C8"/>
    <w:rsid w:val="003F5F99"/>
    <w:rsid w:val="004019CF"/>
    <w:rsid w:val="0040538F"/>
    <w:rsid w:val="00405798"/>
    <w:rsid w:val="00406045"/>
    <w:rsid w:val="00407ECB"/>
    <w:rsid w:val="004118B3"/>
    <w:rsid w:val="00415AF0"/>
    <w:rsid w:val="004176F7"/>
    <w:rsid w:val="00424589"/>
    <w:rsid w:val="00424B38"/>
    <w:rsid w:val="00426BF0"/>
    <w:rsid w:val="004275C0"/>
    <w:rsid w:val="00430E05"/>
    <w:rsid w:val="0043771C"/>
    <w:rsid w:val="0044021A"/>
    <w:rsid w:val="0044300A"/>
    <w:rsid w:val="00444792"/>
    <w:rsid w:val="004633D0"/>
    <w:rsid w:val="00463521"/>
    <w:rsid w:val="004653FA"/>
    <w:rsid w:val="00465E9B"/>
    <w:rsid w:val="00466235"/>
    <w:rsid w:val="00467092"/>
    <w:rsid w:val="004718EF"/>
    <w:rsid w:val="00471ECA"/>
    <w:rsid w:val="004728D0"/>
    <w:rsid w:val="00472FA9"/>
    <w:rsid w:val="00474E23"/>
    <w:rsid w:val="0047558C"/>
    <w:rsid w:val="00481164"/>
    <w:rsid w:val="00482729"/>
    <w:rsid w:val="00484498"/>
    <w:rsid w:val="0049115F"/>
    <w:rsid w:val="00494D96"/>
    <w:rsid w:val="00496659"/>
    <w:rsid w:val="00496BAB"/>
    <w:rsid w:val="004A0468"/>
    <w:rsid w:val="004A232C"/>
    <w:rsid w:val="004A2FE8"/>
    <w:rsid w:val="004A3592"/>
    <w:rsid w:val="004A5F99"/>
    <w:rsid w:val="004A677D"/>
    <w:rsid w:val="004A7E8E"/>
    <w:rsid w:val="004B1731"/>
    <w:rsid w:val="004B1C8C"/>
    <w:rsid w:val="004B1DD0"/>
    <w:rsid w:val="004B3558"/>
    <w:rsid w:val="004B4C4F"/>
    <w:rsid w:val="004B5A9A"/>
    <w:rsid w:val="004B5F05"/>
    <w:rsid w:val="004B6A95"/>
    <w:rsid w:val="004B71D7"/>
    <w:rsid w:val="004B757E"/>
    <w:rsid w:val="004B75F4"/>
    <w:rsid w:val="004C032D"/>
    <w:rsid w:val="004C048E"/>
    <w:rsid w:val="004C0BAA"/>
    <w:rsid w:val="004C27C4"/>
    <w:rsid w:val="004C36C6"/>
    <w:rsid w:val="004C3E94"/>
    <w:rsid w:val="004C6BC4"/>
    <w:rsid w:val="004C74E9"/>
    <w:rsid w:val="004D1146"/>
    <w:rsid w:val="004E0500"/>
    <w:rsid w:val="004E2543"/>
    <w:rsid w:val="004E4518"/>
    <w:rsid w:val="004E6997"/>
    <w:rsid w:val="004F2974"/>
    <w:rsid w:val="004F3879"/>
    <w:rsid w:val="004F4DA7"/>
    <w:rsid w:val="004F4FF2"/>
    <w:rsid w:val="004F5137"/>
    <w:rsid w:val="004F52A5"/>
    <w:rsid w:val="004F5FD2"/>
    <w:rsid w:val="004F6F2E"/>
    <w:rsid w:val="00501018"/>
    <w:rsid w:val="00502556"/>
    <w:rsid w:val="005030FC"/>
    <w:rsid w:val="00504B93"/>
    <w:rsid w:val="00506557"/>
    <w:rsid w:val="00510AB4"/>
    <w:rsid w:val="005121C3"/>
    <w:rsid w:val="0051275E"/>
    <w:rsid w:val="00512F76"/>
    <w:rsid w:val="005133E5"/>
    <w:rsid w:val="00514112"/>
    <w:rsid w:val="00514593"/>
    <w:rsid w:val="00514613"/>
    <w:rsid w:val="00517970"/>
    <w:rsid w:val="00520FFA"/>
    <w:rsid w:val="005224CE"/>
    <w:rsid w:val="00522F28"/>
    <w:rsid w:val="00523027"/>
    <w:rsid w:val="00524128"/>
    <w:rsid w:val="00525AA0"/>
    <w:rsid w:val="00525E5F"/>
    <w:rsid w:val="005278DA"/>
    <w:rsid w:val="00527FAE"/>
    <w:rsid w:val="005304C4"/>
    <w:rsid w:val="00532B24"/>
    <w:rsid w:val="0053342B"/>
    <w:rsid w:val="00535943"/>
    <w:rsid w:val="00541CF6"/>
    <w:rsid w:val="00542404"/>
    <w:rsid w:val="0054328C"/>
    <w:rsid w:val="00545A32"/>
    <w:rsid w:val="00545E31"/>
    <w:rsid w:val="00546A71"/>
    <w:rsid w:val="00547668"/>
    <w:rsid w:val="0055022D"/>
    <w:rsid w:val="005508C7"/>
    <w:rsid w:val="00550B06"/>
    <w:rsid w:val="00552AA6"/>
    <w:rsid w:val="00554D07"/>
    <w:rsid w:val="00560EDF"/>
    <w:rsid w:val="0056181B"/>
    <w:rsid w:val="00562557"/>
    <w:rsid w:val="00566812"/>
    <w:rsid w:val="00570CED"/>
    <w:rsid w:val="00571CFD"/>
    <w:rsid w:val="00573752"/>
    <w:rsid w:val="005752E3"/>
    <w:rsid w:val="005758C5"/>
    <w:rsid w:val="00575B66"/>
    <w:rsid w:val="005769BB"/>
    <w:rsid w:val="00576A2C"/>
    <w:rsid w:val="00583A9A"/>
    <w:rsid w:val="005902DA"/>
    <w:rsid w:val="00592483"/>
    <w:rsid w:val="00595205"/>
    <w:rsid w:val="00595DE7"/>
    <w:rsid w:val="00596133"/>
    <w:rsid w:val="005A27E3"/>
    <w:rsid w:val="005A3222"/>
    <w:rsid w:val="005A58CC"/>
    <w:rsid w:val="005A5BFA"/>
    <w:rsid w:val="005A7153"/>
    <w:rsid w:val="005B0B1B"/>
    <w:rsid w:val="005B1B9A"/>
    <w:rsid w:val="005B284C"/>
    <w:rsid w:val="005B3AFC"/>
    <w:rsid w:val="005B7C32"/>
    <w:rsid w:val="005C2E4D"/>
    <w:rsid w:val="005C357A"/>
    <w:rsid w:val="005C3D5B"/>
    <w:rsid w:val="005C4742"/>
    <w:rsid w:val="005C551E"/>
    <w:rsid w:val="005C6335"/>
    <w:rsid w:val="005C648C"/>
    <w:rsid w:val="005C6822"/>
    <w:rsid w:val="005D0A66"/>
    <w:rsid w:val="005D13F4"/>
    <w:rsid w:val="005D5620"/>
    <w:rsid w:val="005D5D42"/>
    <w:rsid w:val="005D6B7A"/>
    <w:rsid w:val="005D758F"/>
    <w:rsid w:val="005D75F0"/>
    <w:rsid w:val="005D783B"/>
    <w:rsid w:val="005D7A6F"/>
    <w:rsid w:val="005D7EBB"/>
    <w:rsid w:val="005E1A35"/>
    <w:rsid w:val="005E7A7F"/>
    <w:rsid w:val="005F0A38"/>
    <w:rsid w:val="005F3101"/>
    <w:rsid w:val="005F4886"/>
    <w:rsid w:val="005F6D42"/>
    <w:rsid w:val="00605546"/>
    <w:rsid w:val="00610597"/>
    <w:rsid w:val="0061231C"/>
    <w:rsid w:val="00612644"/>
    <w:rsid w:val="006132F4"/>
    <w:rsid w:val="00613891"/>
    <w:rsid w:val="006140A6"/>
    <w:rsid w:val="00616B06"/>
    <w:rsid w:val="00620567"/>
    <w:rsid w:val="00621677"/>
    <w:rsid w:val="00622AA4"/>
    <w:rsid w:val="00624E24"/>
    <w:rsid w:val="00625C5D"/>
    <w:rsid w:val="006261A9"/>
    <w:rsid w:val="00634887"/>
    <w:rsid w:val="00635614"/>
    <w:rsid w:val="006369A2"/>
    <w:rsid w:val="00636C01"/>
    <w:rsid w:val="00636CED"/>
    <w:rsid w:val="00641BE6"/>
    <w:rsid w:val="00641C41"/>
    <w:rsid w:val="006439F7"/>
    <w:rsid w:val="006452DC"/>
    <w:rsid w:val="00646FF7"/>
    <w:rsid w:val="00650C9D"/>
    <w:rsid w:val="00651A79"/>
    <w:rsid w:val="00651FBA"/>
    <w:rsid w:val="00652168"/>
    <w:rsid w:val="006526B9"/>
    <w:rsid w:val="00656A02"/>
    <w:rsid w:val="006618B9"/>
    <w:rsid w:val="006644A2"/>
    <w:rsid w:val="006662D0"/>
    <w:rsid w:val="00666C4F"/>
    <w:rsid w:val="00667D49"/>
    <w:rsid w:val="00670FA2"/>
    <w:rsid w:val="006732B3"/>
    <w:rsid w:val="006739CB"/>
    <w:rsid w:val="006753ED"/>
    <w:rsid w:val="00675B70"/>
    <w:rsid w:val="00680317"/>
    <w:rsid w:val="00681E5A"/>
    <w:rsid w:val="00682259"/>
    <w:rsid w:val="00685767"/>
    <w:rsid w:val="006869E6"/>
    <w:rsid w:val="006875F2"/>
    <w:rsid w:val="00691103"/>
    <w:rsid w:val="00693913"/>
    <w:rsid w:val="00696505"/>
    <w:rsid w:val="0069691A"/>
    <w:rsid w:val="006A48A7"/>
    <w:rsid w:val="006B258C"/>
    <w:rsid w:val="006B4092"/>
    <w:rsid w:val="006B4DA6"/>
    <w:rsid w:val="006B4FB6"/>
    <w:rsid w:val="006B5CBD"/>
    <w:rsid w:val="006C13F7"/>
    <w:rsid w:val="006C17A6"/>
    <w:rsid w:val="006C48BF"/>
    <w:rsid w:val="006C5044"/>
    <w:rsid w:val="006C618A"/>
    <w:rsid w:val="006C6401"/>
    <w:rsid w:val="006C693E"/>
    <w:rsid w:val="006C6AED"/>
    <w:rsid w:val="006D34D7"/>
    <w:rsid w:val="006D409C"/>
    <w:rsid w:val="006D6002"/>
    <w:rsid w:val="006E013D"/>
    <w:rsid w:val="006E07FB"/>
    <w:rsid w:val="006E19A1"/>
    <w:rsid w:val="006E5272"/>
    <w:rsid w:val="006F076D"/>
    <w:rsid w:val="006F08AB"/>
    <w:rsid w:val="006F1FD9"/>
    <w:rsid w:val="006F3421"/>
    <w:rsid w:val="006F3D30"/>
    <w:rsid w:val="006F6131"/>
    <w:rsid w:val="006F713C"/>
    <w:rsid w:val="00700E5D"/>
    <w:rsid w:val="00700F89"/>
    <w:rsid w:val="00702C42"/>
    <w:rsid w:val="00704BCC"/>
    <w:rsid w:val="0070617E"/>
    <w:rsid w:val="0070635F"/>
    <w:rsid w:val="0070762C"/>
    <w:rsid w:val="00713621"/>
    <w:rsid w:val="007179A9"/>
    <w:rsid w:val="00721D76"/>
    <w:rsid w:val="0072271E"/>
    <w:rsid w:val="00724EB8"/>
    <w:rsid w:val="00725911"/>
    <w:rsid w:val="0072623C"/>
    <w:rsid w:val="00727097"/>
    <w:rsid w:val="00727244"/>
    <w:rsid w:val="007304D8"/>
    <w:rsid w:val="0073084D"/>
    <w:rsid w:val="00732412"/>
    <w:rsid w:val="007326F4"/>
    <w:rsid w:val="00734606"/>
    <w:rsid w:val="007352C6"/>
    <w:rsid w:val="00735399"/>
    <w:rsid w:val="00735565"/>
    <w:rsid w:val="00736139"/>
    <w:rsid w:val="00737506"/>
    <w:rsid w:val="00740C32"/>
    <w:rsid w:val="00741C54"/>
    <w:rsid w:val="0074256D"/>
    <w:rsid w:val="00742E1D"/>
    <w:rsid w:val="00744B6F"/>
    <w:rsid w:val="00747BC9"/>
    <w:rsid w:val="00751836"/>
    <w:rsid w:val="00755015"/>
    <w:rsid w:val="0075591C"/>
    <w:rsid w:val="00755AA3"/>
    <w:rsid w:val="00755DF0"/>
    <w:rsid w:val="00756908"/>
    <w:rsid w:val="00757E1C"/>
    <w:rsid w:val="00764479"/>
    <w:rsid w:val="007649F4"/>
    <w:rsid w:val="0076557F"/>
    <w:rsid w:val="0076650A"/>
    <w:rsid w:val="007668B8"/>
    <w:rsid w:val="007670E1"/>
    <w:rsid w:val="00773479"/>
    <w:rsid w:val="00773C66"/>
    <w:rsid w:val="00775042"/>
    <w:rsid w:val="0077621C"/>
    <w:rsid w:val="0077668C"/>
    <w:rsid w:val="00776B98"/>
    <w:rsid w:val="00780311"/>
    <w:rsid w:val="00780D0F"/>
    <w:rsid w:val="00780D18"/>
    <w:rsid w:val="00783267"/>
    <w:rsid w:val="00785881"/>
    <w:rsid w:val="00792FF9"/>
    <w:rsid w:val="0079706B"/>
    <w:rsid w:val="00797959"/>
    <w:rsid w:val="007A1A03"/>
    <w:rsid w:val="007B0431"/>
    <w:rsid w:val="007B0E95"/>
    <w:rsid w:val="007B19F3"/>
    <w:rsid w:val="007B4EEE"/>
    <w:rsid w:val="007B5B0E"/>
    <w:rsid w:val="007B6818"/>
    <w:rsid w:val="007C0496"/>
    <w:rsid w:val="007C09E9"/>
    <w:rsid w:val="007C11ED"/>
    <w:rsid w:val="007C2539"/>
    <w:rsid w:val="007C5080"/>
    <w:rsid w:val="007C5465"/>
    <w:rsid w:val="007C5C4E"/>
    <w:rsid w:val="007C608E"/>
    <w:rsid w:val="007C719A"/>
    <w:rsid w:val="007D0F6B"/>
    <w:rsid w:val="007D2EB2"/>
    <w:rsid w:val="007D3CC6"/>
    <w:rsid w:val="007D5A07"/>
    <w:rsid w:val="007D66B5"/>
    <w:rsid w:val="007D76E8"/>
    <w:rsid w:val="007E12A5"/>
    <w:rsid w:val="007E1F2B"/>
    <w:rsid w:val="007E2D98"/>
    <w:rsid w:val="007E3139"/>
    <w:rsid w:val="007E43D1"/>
    <w:rsid w:val="007E640F"/>
    <w:rsid w:val="007E7A32"/>
    <w:rsid w:val="007F0A44"/>
    <w:rsid w:val="007F2648"/>
    <w:rsid w:val="007F3FDA"/>
    <w:rsid w:val="007F4294"/>
    <w:rsid w:val="007F607A"/>
    <w:rsid w:val="00800123"/>
    <w:rsid w:val="00800BB2"/>
    <w:rsid w:val="00800D24"/>
    <w:rsid w:val="00801167"/>
    <w:rsid w:val="00802714"/>
    <w:rsid w:val="00804890"/>
    <w:rsid w:val="00804C4D"/>
    <w:rsid w:val="00805777"/>
    <w:rsid w:val="008129EB"/>
    <w:rsid w:val="008136DC"/>
    <w:rsid w:val="00813C49"/>
    <w:rsid w:val="00814A10"/>
    <w:rsid w:val="00816196"/>
    <w:rsid w:val="00816E59"/>
    <w:rsid w:val="00817189"/>
    <w:rsid w:val="00817275"/>
    <w:rsid w:val="00817CE7"/>
    <w:rsid w:val="008201CA"/>
    <w:rsid w:val="008214E4"/>
    <w:rsid w:val="00821F59"/>
    <w:rsid w:val="00822C04"/>
    <w:rsid w:val="008236FC"/>
    <w:rsid w:val="00827161"/>
    <w:rsid w:val="008300A0"/>
    <w:rsid w:val="00830606"/>
    <w:rsid w:val="008335D7"/>
    <w:rsid w:val="00842A57"/>
    <w:rsid w:val="008453F8"/>
    <w:rsid w:val="00847611"/>
    <w:rsid w:val="00850054"/>
    <w:rsid w:val="0085531E"/>
    <w:rsid w:val="00855C31"/>
    <w:rsid w:val="0085641F"/>
    <w:rsid w:val="00857607"/>
    <w:rsid w:val="00857931"/>
    <w:rsid w:val="0086144D"/>
    <w:rsid w:val="00861FF4"/>
    <w:rsid w:val="008633FE"/>
    <w:rsid w:val="008645E9"/>
    <w:rsid w:val="00867050"/>
    <w:rsid w:val="00867DC8"/>
    <w:rsid w:val="008711B5"/>
    <w:rsid w:val="00871FBC"/>
    <w:rsid w:val="00873223"/>
    <w:rsid w:val="0087708F"/>
    <w:rsid w:val="0088263A"/>
    <w:rsid w:val="0088371D"/>
    <w:rsid w:val="00884584"/>
    <w:rsid w:val="00884A42"/>
    <w:rsid w:val="00884CA4"/>
    <w:rsid w:val="008861A7"/>
    <w:rsid w:val="008924AA"/>
    <w:rsid w:val="008927D1"/>
    <w:rsid w:val="00892AEE"/>
    <w:rsid w:val="00892BA8"/>
    <w:rsid w:val="00893034"/>
    <w:rsid w:val="008945EE"/>
    <w:rsid w:val="00896885"/>
    <w:rsid w:val="00896BD8"/>
    <w:rsid w:val="0089764D"/>
    <w:rsid w:val="008A2150"/>
    <w:rsid w:val="008A35B9"/>
    <w:rsid w:val="008A7ECD"/>
    <w:rsid w:val="008B0AC2"/>
    <w:rsid w:val="008B1C26"/>
    <w:rsid w:val="008B6E7B"/>
    <w:rsid w:val="008C07BA"/>
    <w:rsid w:val="008C216E"/>
    <w:rsid w:val="008C2EEA"/>
    <w:rsid w:val="008C497B"/>
    <w:rsid w:val="008C5B1E"/>
    <w:rsid w:val="008C5C82"/>
    <w:rsid w:val="008C750F"/>
    <w:rsid w:val="008D35EC"/>
    <w:rsid w:val="008D5144"/>
    <w:rsid w:val="008D774D"/>
    <w:rsid w:val="008E068D"/>
    <w:rsid w:val="008E0E36"/>
    <w:rsid w:val="008E0F70"/>
    <w:rsid w:val="008E27B7"/>
    <w:rsid w:val="008E3948"/>
    <w:rsid w:val="008E4752"/>
    <w:rsid w:val="008E4A6F"/>
    <w:rsid w:val="008E5B07"/>
    <w:rsid w:val="008E7ABA"/>
    <w:rsid w:val="008E7FBF"/>
    <w:rsid w:val="008F0A0A"/>
    <w:rsid w:val="008F335A"/>
    <w:rsid w:val="008F502D"/>
    <w:rsid w:val="008F58E0"/>
    <w:rsid w:val="008F607B"/>
    <w:rsid w:val="0090098F"/>
    <w:rsid w:val="00904536"/>
    <w:rsid w:val="00907352"/>
    <w:rsid w:val="00911050"/>
    <w:rsid w:val="0091170B"/>
    <w:rsid w:val="00913469"/>
    <w:rsid w:val="009147F7"/>
    <w:rsid w:val="00920484"/>
    <w:rsid w:val="00920A8C"/>
    <w:rsid w:val="00922ABB"/>
    <w:rsid w:val="00923278"/>
    <w:rsid w:val="00923800"/>
    <w:rsid w:val="00924BB5"/>
    <w:rsid w:val="00927C9B"/>
    <w:rsid w:val="00930DB9"/>
    <w:rsid w:val="00931094"/>
    <w:rsid w:val="00931667"/>
    <w:rsid w:val="009339CC"/>
    <w:rsid w:val="00933FFD"/>
    <w:rsid w:val="00934259"/>
    <w:rsid w:val="009376A8"/>
    <w:rsid w:val="00937D67"/>
    <w:rsid w:val="00940033"/>
    <w:rsid w:val="009406D6"/>
    <w:rsid w:val="00942BD5"/>
    <w:rsid w:val="00945750"/>
    <w:rsid w:val="00946348"/>
    <w:rsid w:val="00946DAA"/>
    <w:rsid w:val="00946E42"/>
    <w:rsid w:val="00950EB5"/>
    <w:rsid w:val="00951D69"/>
    <w:rsid w:val="0095205B"/>
    <w:rsid w:val="00953536"/>
    <w:rsid w:val="0095372E"/>
    <w:rsid w:val="00953C89"/>
    <w:rsid w:val="00953F8A"/>
    <w:rsid w:val="00954C01"/>
    <w:rsid w:val="00957005"/>
    <w:rsid w:val="0096032C"/>
    <w:rsid w:val="009625BC"/>
    <w:rsid w:val="00965FBF"/>
    <w:rsid w:val="0096625B"/>
    <w:rsid w:val="0096673D"/>
    <w:rsid w:val="00972831"/>
    <w:rsid w:val="0097527A"/>
    <w:rsid w:val="00975E1E"/>
    <w:rsid w:val="00977113"/>
    <w:rsid w:val="009828FF"/>
    <w:rsid w:val="009837C5"/>
    <w:rsid w:val="00986657"/>
    <w:rsid w:val="00991147"/>
    <w:rsid w:val="00992E8D"/>
    <w:rsid w:val="00993CE1"/>
    <w:rsid w:val="009956AE"/>
    <w:rsid w:val="009A4760"/>
    <w:rsid w:val="009A4A6D"/>
    <w:rsid w:val="009A5705"/>
    <w:rsid w:val="009A7AE1"/>
    <w:rsid w:val="009A7C7A"/>
    <w:rsid w:val="009B1561"/>
    <w:rsid w:val="009B1E04"/>
    <w:rsid w:val="009B2B6B"/>
    <w:rsid w:val="009B3EC7"/>
    <w:rsid w:val="009C2F21"/>
    <w:rsid w:val="009C432A"/>
    <w:rsid w:val="009C5742"/>
    <w:rsid w:val="009C6952"/>
    <w:rsid w:val="009D17AF"/>
    <w:rsid w:val="009D1935"/>
    <w:rsid w:val="009D24AA"/>
    <w:rsid w:val="009E0057"/>
    <w:rsid w:val="009E4F19"/>
    <w:rsid w:val="009E6FC2"/>
    <w:rsid w:val="009F0E69"/>
    <w:rsid w:val="009F1292"/>
    <w:rsid w:val="009F1711"/>
    <w:rsid w:val="009F236B"/>
    <w:rsid w:val="009F3439"/>
    <w:rsid w:val="009F37BD"/>
    <w:rsid w:val="009F4A89"/>
    <w:rsid w:val="009F64D1"/>
    <w:rsid w:val="00A00896"/>
    <w:rsid w:val="00A030CF"/>
    <w:rsid w:val="00A03A62"/>
    <w:rsid w:val="00A043A8"/>
    <w:rsid w:val="00A05725"/>
    <w:rsid w:val="00A0734C"/>
    <w:rsid w:val="00A076A3"/>
    <w:rsid w:val="00A07F57"/>
    <w:rsid w:val="00A11733"/>
    <w:rsid w:val="00A118BA"/>
    <w:rsid w:val="00A13063"/>
    <w:rsid w:val="00A146C8"/>
    <w:rsid w:val="00A15DFC"/>
    <w:rsid w:val="00A15F1F"/>
    <w:rsid w:val="00A16106"/>
    <w:rsid w:val="00A230B6"/>
    <w:rsid w:val="00A25BAF"/>
    <w:rsid w:val="00A30349"/>
    <w:rsid w:val="00A30B3A"/>
    <w:rsid w:val="00A3306B"/>
    <w:rsid w:val="00A34662"/>
    <w:rsid w:val="00A34A78"/>
    <w:rsid w:val="00A368EA"/>
    <w:rsid w:val="00A41069"/>
    <w:rsid w:val="00A41FE2"/>
    <w:rsid w:val="00A42A59"/>
    <w:rsid w:val="00A472D9"/>
    <w:rsid w:val="00A47B4F"/>
    <w:rsid w:val="00A47FCC"/>
    <w:rsid w:val="00A52A3C"/>
    <w:rsid w:val="00A5654A"/>
    <w:rsid w:val="00A566A5"/>
    <w:rsid w:val="00A56AEC"/>
    <w:rsid w:val="00A6235F"/>
    <w:rsid w:val="00A66780"/>
    <w:rsid w:val="00A67975"/>
    <w:rsid w:val="00A70EA8"/>
    <w:rsid w:val="00A712C6"/>
    <w:rsid w:val="00A712FA"/>
    <w:rsid w:val="00A7370A"/>
    <w:rsid w:val="00A73CF7"/>
    <w:rsid w:val="00A74E37"/>
    <w:rsid w:val="00A756A8"/>
    <w:rsid w:val="00A7660F"/>
    <w:rsid w:val="00A76ED6"/>
    <w:rsid w:val="00A77E87"/>
    <w:rsid w:val="00A802E2"/>
    <w:rsid w:val="00A80FC0"/>
    <w:rsid w:val="00A80FEE"/>
    <w:rsid w:val="00A81BB2"/>
    <w:rsid w:val="00A85ABB"/>
    <w:rsid w:val="00A85F46"/>
    <w:rsid w:val="00A86F8A"/>
    <w:rsid w:val="00A90BDC"/>
    <w:rsid w:val="00A92C00"/>
    <w:rsid w:val="00A93DCF"/>
    <w:rsid w:val="00A945A6"/>
    <w:rsid w:val="00A957E8"/>
    <w:rsid w:val="00A95910"/>
    <w:rsid w:val="00A95D47"/>
    <w:rsid w:val="00A96953"/>
    <w:rsid w:val="00A973D6"/>
    <w:rsid w:val="00AA1D2D"/>
    <w:rsid w:val="00AA2CD0"/>
    <w:rsid w:val="00AA4CE5"/>
    <w:rsid w:val="00AB4B09"/>
    <w:rsid w:val="00AB5D7D"/>
    <w:rsid w:val="00AB6587"/>
    <w:rsid w:val="00AB66BD"/>
    <w:rsid w:val="00AB7D6B"/>
    <w:rsid w:val="00AC1E85"/>
    <w:rsid w:val="00AC1FB2"/>
    <w:rsid w:val="00AC23FD"/>
    <w:rsid w:val="00AC36DA"/>
    <w:rsid w:val="00AC379E"/>
    <w:rsid w:val="00AC4299"/>
    <w:rsid w:val="00AD1918"/>
    <w:rsid w:val="00AD2C98"/>
    <w:rsid w:val="00AD2D1B"/>
    <w:rsid w:val="00AD3398"/>
    <w:rsid w:val="00AF1968"/>
    <w:rsid w:val="00AF19B3"/>
    <w:rsid w:val="00AF23D3"/>
    <w:rsid w:val="00AF34D7"/>
    <w:rsid w:val="00B01EED"/>
    <w:rsid w:val="00B0414A"/>
    <w:rsid w:val="00B047E9"/>
    <w:rsid w:val="00B05DFE"/>
    <w:rsid w:val="00B06ECC"/>
    <w:rsid w:val="00B107D0"/>
    <w:rsid w:val="00B11D30"/>
    <w:rsid w:val="00B13F05"/>
    <w:rsid w:val="00B14121"/>
    <w:rsid w:val="00B14EAC"/>
    <w:rsid w:val="00B14FBD"/>
    <w:rsid w:val="00B150B3"/>
    <w:rsid w:val="00B15195"/>
    <w:rsid w:val="00B15C09"/>
    <w:rsid w:val="00B16D11"/>
    <w:rsid w:val="00B21709"/>
    <w:rsid w:val="00B21A4C"/>
    <w:rsid w:val="00B274ED"/>
    <w:rsid w:val="00B27C29"/>
    <w:rsid w:val="00B30F8D"/>
    <w:rsid w:val="00B313A4"/>
    <w:rsid w:val="00B31AA4"/>
    <w:rsid w:val="00B32115"/>
    <w:rsid w:val="00B32231"/>
    <w:rsid w:val="00B34661"/>
    <w:rsid w:val="00B360BB"/>
    <w:rsid w:val="00B3690A"/>
    <w:rsid w:val="00B37428"/>
    <w:rsid w:val="00B408A5"/>
    <w:rsid w:val="00B4153F"/>
    <w:rsid w:val="00B43243"/>
    <w:rsid w:val="00B4434B"/>
    <w:rsid w:val="00B45043"/>
    <w:rsid w:val="00B52C38"/>
    <w:rsid w:val="00B537E4"/>
    <w:rsid w:val="00B555C3"/>
    <w:rsid w:val="00B561C6"/>
    <w:rsid w:val="00B56D0F"/>
    <w:rsid w:val="00B601ED"/>
    <w:rsid w:val="00B62F45"/>
    <w:rsid w:val="00B63934"/>
    <w:rsid w:val="00B63D7B"/>
    <w:rsid w:val="00B64926"/>
    <w:rsid w:val="00B64D80"/>
    <w:rsid w:val="00B64EBF"/>
    <w:rsid w:val="00B654CD"/>
    <w:rsid w:val="00B66A8F"/>
    <w:rsid w:val="00B70455"/>
    <w:rsid w:val="00B720D3"/>
    <w:rsid w:val="00B73924"/>
    <w:rsid w:val="00B75420"/>
    <w:rsid w:val="00B7549A"/>
    <w:rsid w:val="00B77656"/>
    <w:rsid w:val="00B820B2"/>
    <w:rsid w:val="00B831DD"/>
    <w:rsid w:val="00B852A2"/>
    <w:rsid w:val="00B86374"/>
    <w:rsid w:val="00B907A4"/>
    <w:rsid w:val="00B92C12"/>
    <w:rsid w:val="00B93968"/>
    <w:rsid w:val="00B95DA4"/>
    <w:rsid w:val="00B9785B"/>
    <w:rsid w:val="00B97F85"/>
    <w:rsid w:val="00BA0932"/>
    <w:rsid w:val="00BA0975"/>
    <w:rsid w:val="00BA0E44"/>
    <w:rsid w:val="00BA2258"/>
    <w:rsid w:val="00BA272D"/>
    <w:rsid w:val="00BA444E"/>
    <w:rsid w:val="00BA4EEE"/>
    <w:rsid w:val="00BB1CC3"/>
    <w:rsid w:val="00BB4286"/>
    <w:rsid w:val="00BB5E20"/>
    <w:rsid w:val="00BB7181"/>
    <w:rsid w:val="00BB72C8"/>
    <w:rsid w:val="00BC0AAF"/>
    <w:rsid w:val="00BC2064"/>
    <w:rsid w:val="00BC2774"/>
    <w:rsid w:val="00BC2D64"/>
    <w:rsid w:val="00BC51A5"/>
    <w:rsid w:val="00BC5730"/>
    <w:rsid w:val="00BD0C14"/>
    <w:rsid w:val="00BD1AEF"/>
    <w:rsid w:val="00BD3EB6"/>
    <w:rsid w:val="00BD48C4"/>
    <w:rsid w:val="00BD5BE1"/>
    <w:rsid w:val="00BE18E0"/>
    <w:rsid w:val="00BE4AA7"/>
    <w:rsid w:val="00BE5216"/>
    <w:rsid w:val="00BE7303"/>
    <w:rsid w:val="00BE7DF1"/>
    <w:rsid w:val="00BF177B"/>
    <w:rsid w:val="00BF25F6"/>
    <w:rsid w:val="00BF494B"/>
    <w:rsid w:val="00BF7293"/>
    <w:rsid w:val="00C013D8"/>
    <w:rsid w:val="00C01564"/>
    <w:rsid w:val="00C04337"/>
    <w:rsid w:val="00C06912"/>
    <w:rsid w:val="00C07FC6"/>
    <w:rsid w:val="00C106CA"/>
    <w:rsid w:val="00C12293"/>
    <w:rsid w:val="00C138AB"/>
    <w:rsid w:val="00C14ABF"/>
    <w:rsid w:val="00C153FF"/>
    <w:rsid w:val="00C15B2D"/>
    <w:rsid w:val="00C15B83"/>
    <w:rsid w:val="00C16249"/>
    <w:rsid w:val="00C166B2"/>
    <w:rsid w:val="00C17AA7"/>
    <w:rsid w:val="00C20336"/>
    <w:rsid w:val="00C25064"/>
    <w:rsid w:val="00C25559"/>
    <w:rsid w:val="00C255DA"/>
    <w:rsid w:val="00C27218"/>
    <w:rsid w:val="00C27607"/>
    <w:rsid w:val="00C34DB2"/>
    <w:rsid w:val="00C363F6"/>
    <w:rsid w:val="00C42ACE"/>
    <w:rsid w:val="00C43F3F"/>
    <w:rsid w:val="00C4428C"/>
    <w:rsid w:val="00C442B6"/>
    <w:rsid w:val="00C4646B"/>
    <w:rsid w:val="00C54EF2"/>
    <w:rsid w:val="00C6045E"/>
    <w:rsid w:val="00C615AF"/>
    <w:rsid w:val="00C6178C"/>
    <w:rsid w:val="00C623F3"/>
    <w:rsid w:val="00C657FE"/>
    <w:rsid w:val="00C663A0"/>
    <w:rsid w:val="00C67437"/>
    <w:rsid w:val="00C742CD"/>
    <w:rsid w:val="00C74A5D"/>
    <w:rsid w:val="00C7504A"/>
    <w:rsid w:val="00C756DD"/>
    <w:rsid w:val="00C7658D"/>
    <w:rsid w:val="00C76E55"/>
    <w:rsid w:val="00C77902"/>
    <w:rsid w:val="00C8084D"/>
    <w:rsid w:val="00C821B8"/>
    <w:rsid w:val="00C851AD"/>
    <w:rsid w:val="00C8726D"/>
    <w:rsid w:val="00C874CD"/>
    <w:rsid w:val="00C87700"/>
    <w:rsid w:val="00C90EC3"/>
    <w:rsid w:val="00C9142E"/>
    <w:rsid w:val="00C95E4F"/>
    <w:rsid w:val="00C96766"/>
    <w:rsid w:val="00C9736D"/>
    <w:rsid w:val="00C97658"/>
    <w:rsid w:val="00C97D7C"/>
    <w:rsid w:val="00CA022C"/>
    <w:rsid w:val="00CA7369"/>
    <w:rsid w:val="00CB0B1C"/>
    <w:rsid w:val="00CB1350"/>
    <w:rsid w:val="00CB28A9"/>
    <w:rsid w:val="00CB597F"/>
    <w:rsid w:val="00CB7336"/>
    <w:rsid w:val="00CC05F3"/>
    <w:rsid w:val="00CC1BB9"/>
    <w:rsid w:val="00CC3874"/>
    <w:rsid w:val="00CC3CBE"/>
    <w:rsid w:val="00CC71BA"/>
    <w:rsid w:val="00CC7B0A"/>
    <w:rsid w:val="00CD30BC"/>
    <w:rsid w:val="00CD4EBF"/>
    <w:rsid w:val="00CD6B66"/>
    <w:rsid w:val="00CE2F55"/>
    <w:rsid w:val="00CE336D"/>
    <w:rsid w:val="00CE410C"/>
    <w:rsid w:val="00CE5029"/>
    <w:rsid w:val="00CE5A43"/>
    <w:rsid w:val="00CE5CA1"/>
    <w:rsid w:val="00CF3347"/>
    <w:rsid w:val="00CF3F41"/>
    <w:rsid w:val="00CF4B56"/>
    <w:rsid w:val="00CF62C2"/>
    <w:rsid w:val="00CF63DC"/>
    <w:rsid w:val="00CF64F6"/>
    <w:rsid w:val="00CF769B"/>
    <w:rsid w:val="00CF77A2"/>
    <w:rsid w:val="00D001A4"/>
    <w:rsid w:val="00D01A12"/>
    <w:rsid w:val="00D01A83"/>
    <w:rsid w:val="00D02548"/>
    <w:rsid w:val="00D02E2F"/>
    <w:rsid w:val="00D04BF3"/>
    <w:rsid w:val="00D06D09"/>
    <w:rsid w:val="00D06E0C"/>
    <w:rsid w:val="00D06EF3"/>
    <w:rsid w:val="00D070A3"/>
    <w:rsid w:val="00D07E8C"/>
    <w:rsid w:val="00D1108F"/>
    <w:rsid w:val="00D119BA"/>
    <w:rsid w:val="00D128B4"/>
    <w:rsid w:val="00D129C7"/>
    <w:rsid w:val="00D1398D"/>
    <w:rsid w:val="00D13AA8"/>
    <w:rsid w:val="00D147E9"/>
    <w:rsid w:val="00D1501A"/>
    <w:rsid w:val="00D15F64"/>
    <w:rsid w:val="00D16548"/>
    <w:rsid w:val="00D171DD"/>
    <w:rsid w:val="00D17EC2"/>
    <w:rsid w:val="00D24167"/>
    <w:rsid w:val="00D24804"/>
    <w:rsid w:val="00D259F5"/>
    <w:rsid w:val="00D26701"/>
    <w:rsid w:val="00D306B1"/>
    <w:rsid w:val="00D313CE"/>
    <w:rsid w:val="00D31F49"/>
    <w:rsid w:val="00D32C49"/>
    <w:rsid w:val="00D32EA6"/>
    <w:rsid w:val="00D355B7"/>
    <w:rsid w:val="00D3574F"/>
    <w:rsid w:val="00D4009D"/>
    <w:rsid w:val="00D44922"/>
    <w:rsid w:val="00D47C41"/>
    <w:rsid w:val="00D47DD4"/>
    <w:rsid w:val="00D50D8B"/>
    <w:rsid w:val="00D530FB"/>
    <w:rsid w:val="00D5461C"/>
    <w:rsid w:val="00D5656D"/>
    <w:rsid w:val="00D5728B"/>
    <w:rsid w:val="00D60B2F"/>
    <w:rsid w:val="00D60EDB"/>
    <w:rsid w:val="00D61DCE"/>
    <w:rsid w:val="00D670C4"/>
    <w:rsid w:val="00D676E4"/>
    <w:rsid w:val="00D71B05"/>
    <w:rsid w:val="00D76C0B"/>
    <w:rsid w:val="00D77C6E"/>
    <w:rsid w:val="00D804B5"/>
    <w:rsid w:val="00D80F17"/>
    <w:rsid w:val="00D81A7F"/>
    <w:rsid w:val="00D84BC0"/>
    <w:rsid w:val="00D84C3B"/>
    <w:rsid w:val="00D84D36"/>
    <w:rsid w:val="00D91D78"/>
    <w:rsid w:val="00D92D9B"/>
    <w:rsid w:val="00D93205"/>
    <w:rsid w:val="00D95CBC"/>
    <w:rsid w:val="00D960AC"/>
    <w:rsid w:val="00DA1410"/>
    <w:rsid w:val="00DA1B4C"/>
    <w:rsid w:val="00DA280D"/>
    <w:rsid w:val="00DA2CA0"/>
    <w:rsid w:val="00DA35AB"/>
    <w:rsid w:val="00DA7B7F"/>
    <w:rsid w:val="00DA7E86"/>
    <w:rsid w:val="00DB4020"/>
    <w:rsid w:val="00DC04E7"/>
    <w:rsid w:val="00DC0C50"/>
    <w:rsid w:val="00DC1733"/>
    <w:rsid w:val="00DC2A51"/>
    <w:rsid w:val="00DD2AE6"/>
    <w:rsid w:val="00DE155C"/>
    <w:rsid w:val="00DE27CC"/>
    <w:rsid w:val="00DE3EA1"/>
    <w:rsid w:val="00DE51F8"/>
    <w:rsid w:val="00DE55BC"/>
    <w:rsid w:val="00DE65E1"/>
    <w:rsid w:val="00DF3310"/>
    <w:rsid w:val="00DF52F2"/>
    <w:rsid w:val="00DF5495"/>
    <w:rsid w:val="00DF62E8"/>
    <w:rsid w:val="00E02E24"/>
    <w:rsid w:val="00E0357B"/>
    <w:rsid w:val="00E03778"/>
    <w:rsid w:val="00E04211"/>
    <w:rsid w:val="00E049CC"/>
    <w:rsid w:val="00E06093"/>
    <w:rsid w:val="00E117A7"/>
    <w:rsid w:val="00E11BBD"/>
    <w:rsid w:val="00E13AAE"/>
    <w:rsid w:val="00E15138"/>
    <w:rsid w:val="00E16F36"/>
    <w:rsid w:val="00E1711B"/>
    <w:rsid w:val="00E24787"/>
    <w:rsid w:val="00E309C0"/>
    <w:rsid w:val="00E30F13"/>
    <w:rsid w:val="00E30F2B"/>
    <w:rsid w:val="00E34148"/>
    <w:rsid w:val="00E424BC"/>
    <w:rsid w:val="00E424CB"/>
    <w:rsid w:val="00E42B6E"/>
    <w:rsid w:val="00E442B3"/>
    <w:rsid w:val="00E448DA"/>
    <w:rsid w:val="00E46914"/>
    <w:rsid w:val="00E500CB"/>
    <w:rsid w:val="00E50AAE"/>
    <w:rsid w:val="00E54150"/>
    <w:rsid w:val="00E54370"/>
    <w:rsid w:val="00E571D3"/>
    <w:rsid w:val="00E5764A"/>
    <w:rsid w:val="00E57841"/>
    <w:rsid w:val="00E607B0"/>
    <w:rsid w:val="00E652DA"/>
    <w:rsid w:val="00E67E18"/>
    <w:rsid w:val="00E70303"/>
    <w:rsid w:val="00E70BC8"/>
    <w:rsid w:val="00E76D9B"/>
    <w:rsid w:val="00E77726"/>
    <w:rsid w:val="00E779CB"/>
    <w:rsid w:val="00E81BBA"/>
    <w:rsid w:val="00E8583F"/>
    <w:rsid w:val="00E86FB7"/>
    <w:rsid w:val="00E87556"/>
    <w:rsid w:val="00E91CA6"/>
    <w:rsid w:val="00E93F4F"/>
    <w:rsid w:val="00E94B2A"/>
    <w:rsid w:val="00E94F07"/>
    <w:rsid w:val="00E96C5B"/>
    <w:rsid w:val="00EA42AE"/>
    <w:rsid w:val="00EA5350"/>
    <w:rsid w:val="00EB0014"/>
    <w:rsid w:val="00EB2CBC"/>
    <w:rsid w:val="00EB422F"/>
    <w:rsid w:val="00EB601E"/>
    <w:rsid w:val="00EB634E"/>
    <w:rsid w:val="00EB733C"/>
    <w:rsid w:val="00EC099C"/>
    <w:rsid w:val="00EC2388"/>
    <w:rsid w:val="00EC4436"/>
    <w:rsid w:val="00EC598A"/>
    <w:rsid w:val="00EC770F"/>
    <w:rsid w:val="00EC7817"/>
    <w:rsid w:val="00EC7D2A"/>
    <w:rsid w:val="00ED05C8"/>
    <w:rsid w:val="00ED069F"/>
    <w:rsid w:val="00ED4FE6"/>
    <w:rsid w:val="00ED52E1"/>
    <w:rsid w:val="00ED6413"/>
    <w:rsid w:val="00ED78C7"/>
    <w:rsid w:val="00EE0539"/>
    <w:rsid w:val="00EE1E4E"/>
    <w:rsid w:val="00EE43FA"/>
    <w:rsid w:val="00EE4DA2"/>
    <w:rsid w:val="00EF0E63"/>
    <w:rsid w:val="00EF3641"/>
    <w:rsid w:val="00EF45D7"/>
    <w:rsid w:val="00EF48F1"/>
    <w:rsid w:val="00EF5B92"/>
    <w:rsid w:val="00F0207D"/>
    <w:rsid w:val="00F043CB"/>
    <w:rsid w:val="00F04919"/>
    <w:rsid w:val="00F06643"/>
    <w:rsid w:val="00F06FBE"/>
    <w:rsid w:val="00F13A75"/>
    <w:rsid w:val="00F16CD9"/>
    <w:rsid w:val="00F16CE8"/>
    <w:rsid w:val="00F257EE"/>
    <w:rsid w:val="00F303F9"/>
    <w:rsid w:val="00F30677"/>
    <w:rsid w:val="00F346BB"/>
    <w:rsid w:val="00F351F3"/>
    <w:rsid w:val="00F35E84"/>
    <w:rsid w:val="00F42C3B"/>
    <w:rsid w:val="00F44C0F"/>
    <w:rsid w:val="00F44D55"/>
    <w:rsid w:val="00F45416"/>
    <w:rsid w:val="00F45FA2"/>
    <w:rsid w:val="00F50F28"/>
    <w:rsid w:val="00F52CE8"/>
    <w:rsid w:val="00F53F4E"/>
    <w:rsid w:val="00F56ACF"/>
    <w:rsid w:val="00F66687"/>
    <w:rsid w:val="00F70355"/>
    <w:rsid w:val="00F77938"/>
    <w:rsid w:val="00F80DC0"/>
    <w:rsid w:val="00F81594"/>
    <w:rsid w:val="00F81F91"/>
    <w:rsid w:val="00F833CB"/>
    <w:rsid w:val="00F840B8"/>
    <w:rsid w:val="00F84315"/>
    <w:rsid w:val="00F8485E"/>
    <w:rsid w:val="00F87389"/>
    <w:rsid w:val="00F874A3"/>
    <w:rsid w:val="00F87C03"/>
    <w:rsid w:val="00F90ADE"/>
    <w:rsid w:val="00F93439"/>
    <w:rsid w:val="00F93CE7"/>
    <w:rsid w:val="00F96218"/>
    <w:rsid w:val="00F97198"/>
    <w:rsid w:val="00FA0D1B"/>
    <w:rsid w:val="00FA2879"/>
    <w:rsid w:val="00FA399A"/>
    <w:rsid w:val="00FA4FEC"/>
    <w:rsid w:val="00FA5ADF"/>
    <w:rsid w:val="00FA6D22"/>
    <w:rsid w:val="00FA743F"/>
    <w:rsid w:val="00FB2462"/>
    <w:rsid w:val="00FB348E"/>
    <w:rsid w:val="00FB3A57"/>
    <w:rsid w:val="00FB4675"/>
    <w:rsid w:val="00FC3CB7"/>
    <w:rsid w:val="00FC6323"/>
    <w:rsid w:val="00FC72D1"/>
    <w:rsid w:val="00FC7300"/>
    <w:rsid w:val="00FD1314"/>
    <w:rsid w:val="00FD2A18"/>
    <w:rsid w:val="00FD326A"/>
    <w:rsid w:val="00FD487B"/>
    <w:rsid w:val="00FD592D"/>
    <w:rsid w:val="00FE3204"/>
    <w:rsid w:val="00FE7373"/>
    <w:rsid w:val="00FF57B4"/>
    <w:rsid w:val="00FF57B6"/>
    <w:rsid w:val="00FF69E7"/>
    <w:rsid w:val="00FF6A42"/>
    <w:rsid w:val="00FF6B87"/>
    <w:rsid w:val="00FF70E8"/>
    <w:rsid w:val="00FF7D62"/>
    <w:rsid w:val="00FF7EB6"/>
    <w:rsid w:val="01127B47"/>
    <w:rsid w:val="015B4FE6"/>
    <w:rsid w:val="016022B4"/>
    <w:rsid w:val="018F32DA"/>
    <w:rsid w:val="01981D96"/>
    <w:rsid w:val="019D121B"/>
    <w:rsid w:val="01D1627A"/>
    <w:rsid w:val="01DA5419"/>
    <w:rsid w:val="01E46D89"/>
    <w:rsid w:val="022C24DE"/>
    <w:rsid w:val="02300221"/>
    <w:rsid w:val="02646B73"/>
    <w:rsid w:val="0281282A"/>
    <w:rsid w:val="028642E4"/>
    <w:rsid w:val="02C1531D"/>
    <w:rsid w:val="03015719"/>
    <w:rsid w:val="03394EB3"/>
    <w:rsid w:val="03E11322"/>
    <w:rsid w:val="04001E75"/>
    <w:rsid w:val="040C25C7"/>
    <w:rsid w:val="041476CE"/>
    <w:rsid w:val="041E22FB"/>
    <w:rsid w:val="04243DB5"/>
    <w:rsid w:val="04561A95"/>
    <w:rsid w:val="047B396B"/>
    <w:rsid w:val="04C1238E"/>
    <w:rsid w:val="04F05A45"/>
    <w:rsid w:val="04FC088E"/>
    <w:rsid w:val="051217E4"/>
    <w:rsid w:val="051F457C"/>
    <w:rsid w:val="052027CE"/>
    <w:rsid w:val="053906F9"/>
    <w:rsid w:val="053973EC"/>
    <w:rsid w:val="05446D9B"/>
    <w:rsid w:val="054A1B88"/>
    <w:rsid w:val="057E12A3"/>
    <w:rsid w:val="05983D07"/>
    <w:rsid w:val="05A44E45"/>
    <w:rsid w:val="05BB42A5"/>
    <w:rsid w:val="05C70E9C"/>
    <w:rsid w:val="05C72C4A"/>
    <w:rsid w:val="05D9472B"/>
    <w:rsid w:val="05E732EC"/>
    <w:rsid w:val="05FF12E2"/>
    <w:rsid w:val="06CD24E2"/>
    <w:rsid w:val="06E93094"/>
    <w:rsid w:val="06E96BF0"/>
    <w:rsid w:val="06EB4687"/>
    <w:rsid w:val="06F2558C"/>
    <w:rsid w:val="07027CB2"/>
    <w:rsid w:val="07034156"/>
    <w:rsid w:val="070952C0"/>
    <w:rsid w:val="071579E5"/>
    <w:rsid w:val="073562D9"/>
    <w:rsid w:val="07391925"/>
    <w:rsid w:val="07966D78"/>
    <w:rsid w:val="07C26666"/>
    <w:rsid w:val="07D0192F"/>
    <w:rsid w:val="07E07FF3"/>
    <w:rsid w:val="07E775D3"/>
    <w:rsid w:val="083043F2"/>
    <w:rsid w:val="0834033F"/>
    <w:rsid w:val="084E7652"/>
    <w:rsid w:val="084F532E"/>
    <w:rsid w:val="086054CD"/>
    <w:rsid w:val="08747B08"/>
    <w:rsid w:val="08966904"/>
    <w:rsid w:val="08A52FEB"/>
    <w:rsid w:val="08E31ADC"/>
    <w:rsid w:val="090C3B5F"/>
    <w:rsid w:val="09216B15"/>
    <w:rsid w:val="092330EA"/>
    <w:rsid w:val="092F3FDE"/>
    <w:rsid w:val="09722ECD"/>
    <w:rsid w:val="09862E1C"/>
    <w:rsid w:val="098658DF"/>
    <w:rsid w:val="09A82D92"/>
    <w:rsid w:val="09B01C47"/>
    <w:rsid w:val="0A5F1209"/>
    <w:rsid w:val="0A9B6F0E"/>
    <w:rsid w:val="0AA7129C"/>
    <w:rsid w:val="0AD007F3"/>
    <w:rsid w:val="0ADB0F46"/>
    <w:rsid w:val="0B2A397F"/>
    <w:rsid w:val="0B5E5965"/>
    <w:rsid w:val="0BAC3645"/>
    <w:rsid w:val="0BB51797"/>
    <w:rsid w:val="0BBA0B5B"/>
    <w:rsid w:val="0BC33EB3"/>
    <w:rsid w:val="0C152235"/>
    <w:rsid w:val="0C394176"/>
    <w:rsid w:val="0C5B4905"/>
    <w:rsid w:val="0C767178"/>
    <w:rsid w:val="0C8866E7"/>
    <w:rsid w:val="0C8C0749"/>
    <w:rsid w:val="0CAD19F6"/>
    <w:rsid w:val="0CEC11E8"/>
    <w:rsid w:val="0CF77F3A"/>
    <w:rsid w:val="0D110C4F"/>
    <w:rsid w:val="0D1644B7"/>
    <w:rsid w:val="0D217A13"/>
    <w:rsid w:val="0D350DE1"/>
    <w:rsid w:val="0D501777"/>
    <w:rsid w:val="0E2B08C8"/>
    <w:rsid w:val="0E30668F"/>
    <w:rsid w:val="0E323572"/>
    <w:rsid w:val="0E3F3599"/>
    <w:rsid w:val="0E56100F"/>
    <w:rsid w:val="0EB20D6B"/>
    <w:rsid w:val="0EE8142C"/>
    <w:rsid w:val="0F45669A"/>
    <w:rsid w:val="0F9A4F2B"/>
    <w:rsid w:val="0FB57FB7"/>
    <w:rsid w:val="0FC24482"/>
    <w:rsid w:val="0FC621C4"/>
    <w:rsid w:val="0FCB1589"/>
    <w:rsid w:val="0FE324C0"/>
    <w:rsid w:val="0FF37DFC"/>
    <w:rsid w:val="0FFC7994"/>
    <w:rsid w:val="10042CED"/>
    <w:rsid w:val="10134CDE"/>
    <w:rsid w:val="10635C65"/>
    <w:rsid w:val="10702130"/>
    <w:rsid w:val="10790FE5"/>
    <w:rsid w:val="10D47789"/>
    <w:rsid w:val="10FC52EA"/>
    <w:rsid w:val="10FD39C4"/>
    <w:rsid w:val="11196324"/>
    <w:rsid w:val="11390774"/>
    <w:rsid w:val="113C4981"/>
    <w:rsid w:val="11663557"/>
    <w:rsid w:val="117C1F56"/>
    <w:rsid w:val="119C142F"/>
    <w:rsid w:val="11A958FA"/>
    <w:rsid w:val="11F8062F"/>
    <w:rsid w:val="11F87F82"/>
    <w:rsid w:val="12064AFA"/>
    <w:rsid w:val="120B3EBE"/>
    <w:rsid w:val="125B51E0"/>
    <w:rsid w:val="12681311"/>
    <w:rsid w:val="126D4B79"/>
    <w:rsid w:val="126E269F"/>
    <w:rsid w:val="132C0590"/>
    <w:rsid w:val="13313DF9"/>
    <w:rsid w:val="13394518"/>
    <w:rsid w:val="13444077"/>
    <w:rsid w:val="134578A4"/>
    <w:rsid w:val="13547AE7"/>
    <w:rsid w:val="136E1102"/>
    <w:rsid w:val="13725F3C"/>
    <w:rsid w:val="13AF2F6F"/>
    <w:rsid w:val="13BC5E85"/>
    <w:rsid w:val="13E06DE0"/>
    <w:rsid w:val="13F61545"/>
    <w:rsid w:val="14164D9C"/>
    <w:rsid w:val="142C45C0"/>
    <w:rsid w:val="144C07BE"/>
    <w:rsid w:val="14593607"/>
    <w:rsid w:val="14942891"/>
    <w:rsid w:val="14997EA7"/>
    <w:rsid w:val="14FA32EB"/>
    <w:rsid w:val="15335AFF"/>
    <w:rsid w:val="1536087D"/>
    <w:rsid w:val="155618F4"/>
    <w:rsid w:val="156E6427"/>
    <w:rsid w:val="158D0052"/>
    <w:rsid w:val="15AE1730"/>
    <w:rsid w:val="15BE3826"/>
    <w:rsid w:val="15C727F2"/>
    <w:rsid w:val="160C46A9"/>
    <w:rsid w:val="163559AE"/>
    <w:rsid w:val="1647748F"/>
    <w:rsid w:val="16646CBF"/>
    <w:rsid w:val="1692775F"/>
    <w:rsid w:val="16DD7872"/>
    <w:rsid w:val="16F50155"/>
    <w:rsid w:val="16FA2753"/>
    <w:rsid w:val="172577D0"/>
    <w:rsid w:val="1752258F"/>
    <w:rsid w:val="17752C9A"/>
    <w:rsid w:val="178564C1"/>
    <w:rsid w:val="17884203"/>
    <w:rsid w:val="17991F6C"/>
    <w:rsid w:val="179D62F1"/>
    <w:rsid w:val="17A13E79"/>
    <w:rsid w:val="17A728DB"/>
    <w:rsid w:val="17A92558"/>
    <w:rsid w:val="17AA23CB"/>
    <w:rsid w:val="17DC3F56"/>
    <w:rsid w:val="17DFA678"/>
    <w:rsid w:val="17EB6C6C"/>
    <w:rsid w:val="181379D9"/>
    <w:rsid w:val="18164B08"/>
    <w:rsid w:val="182B19A1"/>
    <w:rsid w:val="182C6276"/>
    <w:rsid w:val="18583BD5"/>
    <w:rsid w:val="18725A29"/>
    <w:rsid w:val="187C592C"/>
    <w:rsid w:val="18AC5CCF"/>
    <w:rsid w:val="18C140E3"/>
    <w:rsid w:val="18EB67F8"/>
    <w:rsid w:val="192A5572"/>
    <w:rsid w:val="193163BA"/>
    <w:rsid w:val="194D1755"/>
    <w:rsid w:val="195425EF"/>
    <w:rsid w:val="195E6FCA"/>
    <w:rsid w:val="19662322"/>
    <w:rsid w:val="19A60CEC"/>
    <w:rsid w:val="19AC41D9"/>
    <w:rsid w:val="19C41EF4"/>
    <w:rsid w:val="19D13C3F"/>
    <w:rsid w:val="19EC0A79"/>
    <w:rsid w:val="1A954C6D"/>
    <w:rsid w:val="1AB55372"/>
    <w:rsid w:val="1AC94917"/>
    <w:rsid w:val="1B1A1616"/>
    <w:rsid w:val="1B2B3823"/>
    <w:rsid w:val="1B3A34BE"/>
    <w:rsid w:val="1B950C9D"/>
    <w:rsid w:val="1B9E3FF5"/>
    <w:rsid w:val="1BB697C9"/>
    <w:rsid w:val="1BB85AF1"/>
    <w:rsid w:val="1BCB46BE"/>
    <w:rsid w:val="1BDB0DA5"/>
    <w:rsid w:val="1C2C7853"/>
    <w:rsid w:val="1C4050AC"/>
    <w:rsid w:val="1C4C3A51"/>
    <w:rsid w:val="1C6868DC"/>
    <w:rsid w:val="1C7865F4"/>
    <w:rsid w:val="1CC04712"/>
    <w:rsid w:val="1CFED002"/>
    <w:rsid w:val="1D102CD1"/>
    <w:rsid w:val="1D176BC2"/>
    <w:rsid w:val="1D2507C4"/>
    <w:rsid w:val="1D436C02"/>
    <w:rsid w:val="1D7814FC"/>
    <w:rsid w:val="1D863B00"/>
    <w:rsid w:val="1D9B6558"/>
    <w:rsid w:val="1DAD0520"/>
    <w:rsid w:val="1DC13061"/>
    <w:rsid w:val="1DE2466D"/>
    <w:rsid w:val="1DE877AA"/>
    <w:rsid w:val="1DEB1048"/>
    <w:rsid w:val="1E1D38F7"/>
    <w:rsid w:val="1E253203"/>
    <w:rsid w:val="1E454BFC"/>
    <w:rsid w:val="1E8F5E77"/>
    <w:rsid w:val="1EBF050A"/>
    <w:rsid w:val="1EBF675C"/>
    <w:rsid w:val="1EF02DBA"/>
    <w:rsid w:val="1EF062C8"/>
    <w:rsid w:val="1EF7500C"/>
    <w:rsid w:val="1EFC175F"/>
    <w:rsid w:val="1EFD1033"/>
    <w:rsid w:val="1F093E7B"/>
    <w:rsid w:val="1F122D30"/>
    <w:rsid w:val="1F3233D2"/>
    <w:rsid w:val="1F6B2440"/>
    <w:rsid w:val="1F78690B"/>
    <w:rsid w:val="1F7F4BC0"/>
    <w:rsid w:val="1FB77434"/>
    <w:rsid w:val="1FC475AA"/>
    <w:rsid w:val="1FD60202"/>
    <w:rsid w:val="1FE8546A"/>
    <w:rsid w:val="1FEE3EF7"/>
    <w:rsid w:val="201605FE"/>
    <w:rsid w:val="205B0707"/>
    <w:rsid w:val="209459C7"/>
    <w:rsid w:val="20D14525"/>
    <w:rsid w:val="21093CBF"/>
    <w:rsid w:val="211C7E96"/>
    <w:rsid w:val="2144212A"/>
    <w:rsid w:val="21584C46"/>
    <w:rsid w:val="215D400B"/>
    <w:rsid w:val="2164183D"/>
    <w:rsid w:val="216C24A0"/>
    <w:rsid w:val="21817CF9"/>
    <w:rsid w:val="21B06830"/>
    <w:rsid w:val="21E0234B"/>
    <w:rsid w:val="21E436EC"/>
    <w:rsid w:val="21EF49EB"/>
    <w:rsid w:val="22861B8C"/>
    <w:rsid w:val="229B4DEB"/>
    <w:rsid w:val="22A31EF1"/>
    <w:rsid w:val="232F19D7"/>
    <w:rsid w:val="23563407"/>
    <w:rsid w:val="235C6C70"/>
    <w:rsid w:val="23827D58"/>
    <w:rsid w:val="239A3CC5"/>
    <w:rsid w:val="23A61C99"/>
    <w:rsid w:val="23DE7685"/>
    <w:rsid w:val="23F30C56"/>
    <w:rsid w:val="23F8626D"/>
    <w:rsid w:val="2418246B"/>
    <w:rsid w:val="244F6231"/>
    <w:rsid w:val="24613E12"/>
    <w:rsid w:val="248F3D0B"/>
    <w:rsid w:val="24912949"/>
    <w:rsid w:val="24D740D4"/>
    <w:rsid w:val="24D82326"/>
    <w:rsid w:val="24FE5B05"/>
    <w:rsid w:val="250824DF"/>
    <w:rsid w:val="252E0198"/>
    <w:rsid w:val="25331C52"/>
    <w:rsid w:val="25341526"/>
    <w:rsid w:val="253A4D8F"/>
    <w:rsid w:val="25494FD2"/>
    <w:rsid w:val="25592D3B"/>
    <w:rsid w:val="255F2A47"/>
    <w:rsid w:val="25626093"/>
    <w:rsid w:val="256838D4"/>
    <w:rsid w:val="256A4F48"/>
    <w:rsid w:val="259207B1"/>
    <w:rsid w:val="25BD776E"/>
    <w:rsid w:val="25F27417"/>
    <w:rsid w:val="2609650F"/>
    <w:rsid w:val="260A1216"/>
    <w:rsid w:val="261F3F85"/>
    <w:rsid w:val="26265313"/>
    <w:rsid w:val="2626787B"/>
    <w:rsid w:val="268F2EB8"/>
    <w:rsid w:val="26BD64F9"/>
    <w:rsid w:val="26F102A6"/>
    <w:rsid w:val="26F7280B"/>
    <w:rsid w:val="273BE201"/>
    <w:rsid w:val="27651657"/>
    <w:rsid w:val="276D7A14"/>
    <w:rsid w:val="2797644D"/>
    <w:rsid w:val="27CD6787"/>
    <w:rsid w:val="282A6A75"/>
    <w:rsid w:val="282B6C11"/>
    <w:rsid w:val="283C0E1E"/>
    <w:rsid w:val="285A74F6"/>
    <w:rsid w:val="286E1525"/>
    <w:rsid w:val="288E7379"/>
    <w:rsid w:val="28EA6ACC"/>
    <w:rsid w:val="293E4722"/>
    <w:rsid w:val="294E0464"/>
    <w:rsid w:val="29712D49"/>
    <w:rsid w:val="297665B1"/>
    <w:rsid w:val="29777FD8"/>
    <w:rsid w:val="298A5BB9"/>
    <w:rsid w:val="29A8113A"/>
    <w:rsid w:val="29AC029D"/>
    <w:rsid w:val="29F01EC0"/>
    <w:rsid w:val="2A0E0E6C"/>
    <w:rsid w:val="2AAB77D2"/>
    <w:rsid w:val="2AE92DE3"/>
    <w:rsid w:val="2B033E75"/>
    <w:rsid w:val="2B4A5600"/>
    <w:rsid w:val="2B54647E"/>
    <w:rsid w:val="2B5B780D"/>
    <w:rsid w:val="2B6D12EE"/>
    <w:rsid w:val="2BA2543C"/>
    <w:rsid w:val="2BAA4474"/>
    <w:rsid w:val="2BF832AE"/>
    <w:rsid w:val="2BFD2672"/>
    <w:rsid w:val="2C027C88"/>
    <w:rsid w:val="2C24051B"/>
    <w:rsid w:val="2C273B93"/>
    <w:rsid w:val="2CA60770"/>
    <w:rsid w:val="2CAB6572"/>
    <w:rsid w:val="2CBD0053"/>
    <w:rsid w:val="2CC413E2"/>
    <w:rsid w:val="2CD47877"/>
    <w:rsid w:val="2CDC672B"/>
    <w:rsid w:val="2CF021D7"/>
    <w:rsid w:val="2CFE2B46"/>
    <w:rsid w:val="2D144117"/>
    <w:rsid w:val="2D3E1194"/>
    <w:rsid w:val="2D5503F3"/>
    <w:rsid w:val="2D60110A"/>
    <w:rsid w:val="2D61DCF7"/>
    <w:rsid w:val="2D6A1F89"/>
    <w:rsid w:val="2D88240F"/>
    <w:rsid w:val="2D8C58C7"/>
    <w:rsid w:val="2DC378EB"/>
    <w:rsid w:val="2DC457AD"/>
    <w:rsid w:val="2DD35D80"/>
    <w:rsid w:val="2DDD1E55"/>
    <w:rsid w:val="2DE7182C"/>
    <w:rsid w:val="2E4D63C7"/>
    <w:rsid w:val="2E836496"/>
    <w:rsid w:val="2E90756F"/>
    <w:rsid w:val="2E9F5C62"/>
    <w:rsid w:val="2EA75652"/>
    <w:rsid w:val="2ED33B5E"/>
    <w:rsid w:val="2ED962FD"/>
    <w:rsid w:val="2EF67EF6"/>
    <w:rsid w:val="2F0602DD"/>
    <w:rsid w:val="2F10090E"/>
    <w:rsid w:val="2F2D4FF3"/>
    <w:rsid w:val="2F31608E"/>
    <w:rsid w:val="2F351597"/>
    <w:rsid w:val="2F464330"/>
    <w:rsid w:val="2F522CD5"/>
    <w:rsid w:val="2F562335"/>
    <w:rsid w:val="2F993646"/>
    <w:rsid w:val="2F9E5F1A"/>
    <w:rsid w:val="2F9F4A06"/>
    <w:rsid w:val="2FC736C3"/>
    <w:rsid w:val="2FED6EB0"/>
    <w:rsid w:val="303548B7"/>
    <w:rsid w:val="30420F9B"/>
    <w:rsid w:val="30601421"/>
    <w:rsid w:val="30696528"/>
    <w:rsid w:val="306E1D90"/>
    <w:rsid w:val="30731155"/>
    <w:rsid w:val="30801AC4"/>
    <w:rsid w:val="308275EA"/>
    <w:rsid w:val="30A27C8C"/>
    <w:rsid w:val="30BB0E26"/>
    <w:rsid w:val="30CD2F5B"/>
    <w:rsid w:val="30D53BBD"/>
    <w:rsid w:val="315A40C3"/>
    <w:rsid w:val="31644F41"/>
    <w:rsid w:val="31701B38"/>
    <w:rsid w:val="31741628"/>
    <w:rsid w:val="319E48F7"/>
    <w:rsid w:val="31B732C3"/>
    <w:rsid w:val="31B937C3"/>
    <w:rsid w:val="31CD2AE7"/>
    <w:rsid w:val="3253123E"/>
    <w:rsid w:val="328D5409"/>
    <w:rsid w:val="32DB1E15"/>
    <w:rsid w:val="32F04CDF"/>
    <w:rsid w:val="331F7372"/>
    <w:rsid w:val="3321133C"/>
    <w:rsid w:val="33490893"/>
    <w:rsid w:val="33957634"/>
    <w:rsid w:val="339733AC"/>
    <w:rsid w:val="33995376"/>
    <w:rsid w:val="33E97C32"/>
    <w:rsid w:val="33F20F2A"/>
    <w:rsid w:val="34076784"/>
    <w:rsid w:val="34452E08"/>
    <w:rsid w:val="34873421"/>
    <w:rsid w:val="349A13A6"/>
    <w:rsid w:val="34A6342C"/>
    <w:rsid w:val="34B166F0"/>
    <w:rsid w:val="34C77CC1"/>
    <w:rsid w:val="34CD5419"/>
    <w:rsid w:val="34F5482E"/>
    <w:rsid w:val="350D601C"/>
    <w:rsid w:val="352275ED"/>
    <w:rsid w:val="35466E38"/>
    <w:rsid w:val="3558300F"/>
    <w:rsid w:val="35695279"/>
    <w:rsid w:val="356F847F"/>
    <w:rsid w:val="35904557"/>
    <w:rsid w:val="35CB1A33"/>
    <w:rsid w:val="3619454C"/>
    <w:rsid w:val="361C5DEB"/>
    <w:rsid w:val="362F3D70"/>
    <w:rsid w:val="36435A6D"/>
    <w:rsid w:val="36527A5E"/>
    <w:rsid w:val="36A302BA"/>
    <w:rsid w:val="36BD62C5"/>
    <w:rsid w:val="36BE2E40"/>
    <w:rsid w:val="372B2789"/>
    <w:rsid w:val="374663A6"/>
    <w:rsid w:val="376637C1"/>
    <w:rsid w:val="37971BCD"/>
    <w:rsid w:val="37977E1F"/>
    <w:rsid w:val="379A790F"/>
    <w:rsid w:val="37B262EE"/>
    <w:rsid w:val="37DC1CD5"/>
    <w:rsid w:val="37DF36A1"/>
    <w:rsid w:val="37FF157C"/>
    <w:rsid w:val="38262F51"/>
    <w:rsid w:val="38463F61"/>
    <w:rsid w:val="38655C74"/>
    <w:rsid w:val="38AC5B4C"/>
    <w:rsid w:val="38B4055C"/>
    <w:rsid w:val="38B8629F"/>
    <w:rsid w:val="38C20ECB"/>
    <w:rsid w:val="38DE55D9"/>
    <w:rsid w:val="392B4CC2"/>
    <w:rsid w:val="393D67A4"/>
    <w:rsid w:val="39400042"/>
    <w:rsid w:val="394E09B1"/>
    <w:rsid w:val="39557F91"/>
    <w:rsid w:val="39861EF9"/>
    <w:rsid w:val="39921DDC"/>
    <w:rsid w:val="39D54C2E"/>
    <w:rsid w:val="3A0B0650"/>
    <w:rsid w:val="3A3C4CAD"/>
    <w:rsid w:val="3A647D60"/>
    <w:rsid w:val="3A7A7584"/>
    <w:rsid w:val="3AA34D2C"/>
    <w:rsid w:val="3AAD7959"/>
    <w:rsid w:val="3AE710BD"/>
    <w:rsid w:val="3B07350D"/>
    <w:rsid w:val="3B091033"/>
    <w:rsid w:val="3B3977BC"/>
    <w:rsid w:val="3B556027"/>
    <w:rsid w:val="3B6E533A"/>
    <w:rsid w:val="3B9A1C8B"/>
    <w:rsid w:val="3BAC7C11"/>
    <w:rsid w:val="3BBA232E"/>
    <w:rsid w:val="3BC1546A"/>
    <w:rsid w:val="3BDC04F6"/>
    <w:rsid w:val="3BF41C60"/>
    <w:rsid w:val="3C153A08"/>
    <w:rsid w:val="3C4823D8"/>
    <w:rsid w:val="3C7030B7"/>
    <w:rsid w:val="3C722C08"/>
    <w:rsid w:val="3C7C3A87"/>
    <w:rsid w:val="3CB23005"/>
    <w:rsid w:val="3CCF6C0D"/>
    <w:rsid w:val="3CD64F45"/>
    <w:rsid w:val="3CE5162C"/>
    <w:rsid w:val="3D3A7941"/>
    <w:rsid w:val="3D6E33D0"/>
    <w:rsid w:val="3E075499"/>
    <w:rsid w:val="3E686071"/>
    <w:rsid w:val="3E6B5B61"/>
    <w:rsid w:val="3E994F65"/>
    <w:rsid w:val="3EA66B99"/>
    <w:rsid w:val="3EAA6689"/>
    <w:rsid w:val="3EAF1EF2"/>
    <w:rsid w:val="3ED454B4"/>
    <w:rsid w:val="3EEF6792"/>
    <w:rsid w:val="3EF570E4"/>
    <w:rsid w:val="3EF9316D"/>
    <w:rsid w:val="3F762A0F"/>
    <w:rsid w:val="3F823162"/>
    <w:rsid w:val="3FC13CDC"/>
    <w:rsid w:val="3FC25C55"/>
    <w:rsid w:val="3FC962B1"/>
    <w:rsid w:val="3FCD4CAD"/>
    <w:rsid w:val="3FD85478"/>
    <w:rsid w:val="3FD99B43"/>
    <w:rsid w:val="3FE71416"/>
    <w:rsid w:val="3FFD07E4"/>
    <w:rsid w:val="3FFF4F8A"/>
    <w:rsid w:val="40095632"/>
    <w:rsid w:val="40204729"/>
    <w:rsid w:val="402E6E46"/>
    <w:rsid w:val="405A40DF"/>
    <w:rsid w:val="40C96B6F"/>
    <w:rsid w:val="40CB28E7"/>
    <w:rsid w:val="40E35E83"/>
    <w:rsid w:val="410F0A26"/>
    <w:rsid w:val="41270465"/>
    <w:rsid w:val="415154E2"/>
    <w:rsid w:val="415F13B8"/>
    <w:rsid w:val="41B65345"/>
    <w:rsid w:val="41EF0857"/>
    <w:rsid w:val="42004812"/>
    <w:rsid w:val="421577DB"/>
    <w:rsid w:val="427C658F"/>
    <w:rsid w:val="42817701"/>
    <w:rsid w:val="4292190E"/>
    <w:rsid w:val="42C211E4"/>
    <w:rsid w:val="42C27294"/>
    <w:rsid w:val="430B346F"/>
    <w:rsid w:val="432F53AF"/>
    <w:rsid w:val="434A043B"/>
    <w:rsid w:val="434C41B3"/>
    <w:rsid w:val="435272F0"/>
    <w:rsid w:val="43554084"/>
    <w:rsid w:val="435B61A4"/>
    <w:rsid w:val="43686B13"/>
    <w:rsid w:val="44112D07"/>
    <w:rsid w:val="441D16AC"/>
    <w:rsid w:val="442962A2"/>
    <w:rsid w:val="443D7A89"/>
    <w:rsid w:val="445A645C"/>
    <w:rsid w:val="445B21D4"/>
    <w:rsid w:val="44641089"/>
    <w:rsid w:val="44654E01"/>
    <w:rsid w:val="44A26055"/>
    <w:rsid w:val="44BF6C07"/>
    <w:rsid w:val="44E26451"/>
    <w:rsid w:val="44E73A68"/>
    <w:rsid w:val="450308A1"/>
    <w:rsid w:val="45356EC9"/>
    <w:rsid w:val="454F1D39"/>
    <w:rsid w:val="45575091"/>
    <w:rsid w:val="4574179F"/>
    <w:rsid w:val="457C5A3B"/>
    <w:rsid w:val="45A1630C"/>
    <w:rsid w:val="45A71B75"/>
    <w:rsid w:val="45AA3413"/>
    <w:rsid w:val="45C5024D"/>
    <w:rsid w:val="45ED3300"/>
    <w:rsid w:val="4607616F"/>
    <w:rsid w:val="460E39A2"/>
    <w:rsid w:val="463B2DA1"/>
    <w:rsid w:val="463D2CDE"/>
    <w:rsid w:val="46535859"/>
    <w:rsid w:val="468F19EB"/>
    <w:rsid w:val="4691012F"/>
    <w:rsid w:val="4698326B"/>
    <w:rsid w:val="46A165C4"/>
    <w:rsid w:val="46B5206F"/>
    <w:rsid w:val="46E62229"/>
    <w:rsid w:val="47017063"/>
    <w:rsid w:val="475F1FDB"/>
    <w:rsid w:val="4766336A"/>
    <w:rsid w:val="477F61D9"/>
    <w:rsid w:val="47836886"/>
    <w:rsid w:val="47D43483"/>
    <w:rsid w:val="47EF335F"/>
    <w:rsid w:val="480A1F47"/>
    <w:rsid w:val="488937B4"/>
    <w:rsid w:val="49064E04"/>
    <w:rsid w:val="490C7F41"/>
    <w:rsid w:val="49296D45"/>
    <w:rsid w:val="493279A7"/>
    <w:rsid w:val="49366D6C"/>
    <w:rsid w:val="49492F43"/>
    <w:rsid w:val="495711BC"/>
    <w:rsid w:val="49926698"/>
    <w:rsid w:val="499E6DEB"/>
    <w:rsid w:val="49D00F6E"/>
    <w:rsid w:val="49EA67CD"/>
    <w:rsid w:val="4A121587"/>
    <w:rsid w:val="4A331C29"/>
    <w:rsid w:val="4A3D2AA8"/>
    <w:rsid w:val="4A4F6337"/>
    <w:rsid w:val="4A630034"/>
    <w:rsid w:val="4A8B6AF7"/>
    <w:rsid w:val="4A97794D"/>
    <w:rsid w:val="4AD8632C"/>
    <w:rsid w:val="4B09298A"/>
    <w:rsid w:val="4B11183E"/>
    <w:rsid w:val="4B5B7279"/>
    <w:rsid w:val="4B644876"/>
    <w:rsid w:val="4B840262"/>
    <w:rsid w:val="4BB74194"/>
    <w:rsid w:val="4C03562B"/>
    <w:rsid w:val="4C567E51"/>
    <w:rsid w:val="4C7E73A7"/>
    <w:rsid w:val="4C7F0BBC"/>
    <w:rsid w:val="4CA42510"/>
    <w:rsid w:val="4CC76658"/>
    <w:rsid w:val="4CEC79C8"/>
    <w:rsid w:val="4D9724CF"/>
    <w:rsid w:val="4DC112FA"/>
    <w:rsid w:val="4DDA23BB"/>
    <w:rsid w:val="4E0C4855"/>
    <w:rsid w:val="4E233D34"/>
    <w:rsid w:val="4E4D0DDF"/>
    <w:rsid w:val="4E775E5C"/>
    <w:rsid w:val="4E792450"/>
    <w:rsid w:val="4EB470B0"/>
    <w:rsid w:val="4ECC7F56"/>
    <w:rsid w:val="4ED17C62"/>
    <w:rsid w:val="4ED96B17"/>
    <w:rsid w:val="4F317CD0"/>
    <w:rsid w:val="4F3E8C4E"/>
    <w:rsid w:val="4F5A1A06"/>
    <w:rsid w:val="4F624D5E"/>
    <w:rsid w:val="4F734876"/>
    <w:rsid w:val="4F950C90"/>
    <w:rsid w:val="4F9A62A6"/>
    <w:rsid w:val="4FBC53FA"/>
    <w:rsid w:val="4FBD69AA"/>
    <w:rsid w:val="4FE85264"/>
    <w:rsid w:val="50067498"/>
    <w:rsid w:val="50461F8A"/>
    <w:rsid w:val="504A7CCC"/>
    <w:rsid w:val="50650662"/>
    <w:rsid w:val="507C5646"/>
    <w:rsid w:val="508D1967"/>
    <w:rsid w:val="50982DC8"/>
    <w:rsid w:val="50A85A61"/>
    <w:rsid w:val="50E7376D"/>
    <w:rsid w:val="50F47C38"/>
    <w:rsid w:val="51630080"/>
    <w:rsid w:val="5187285A"/>
    <w:rsid w:val="51CC64BF"/>
    <w:rsid w:val="520420FD"/>
    <w:rsid w:val="52045C59"/>
    <w:rsid w:val="52195BA8"/>
    <w:rsid w:val="521B6ECB"/>
    <w:rsid w:val="522E2CD6"/>
    <w:rsid w:val="525B224B"/>
    <w:rsid w:val="525E180D"/>
    <w:rsid w:val="52825A68"/>
    <w:rsid w:val="52C8312A"/>
    <w:rsid w:val="52D970E6"/>
    <w:rsid w:val="52E00474"/>
    <w:rsid w:val="52F67C97"/>
    <w:rsid w:val="52F91536"/>
    <w:rsid w:val="532C5467"/>
    <w:rsid w:val="536C5263"/>
    <w:rsid w:val="53774CFF"/>
    <w:rsid w:val="53B66FD2"/>
    <w:rsid w:val="53BC2C8F"/>
    <w:rsid w:val="53D5423C"/>
    <w:rsid w:val="53D855EF"/>
    <w:rsid w:val="53DF2F1F"/>
    <w:rsid w:val="540B1521"/>
    <w:rsid w:val="54171065"/>
    <w:rsid w:val="542B666B"/>
    <w:rsid w:val="54E5072B"/>
    <w:rsid w:val="55466588"/>
    <w:rsid w:val="554E6063"/>
    <w:rsid w:val="55C62214"/>
    <w:rsid w:val="55CE2806"/>
    <w:rsid w:val="5638698C"/>
    <w:rsid w:val="56387F3B"/>
    <w:rsid w:val="56566FF6"/>
    <w:rsid w:val="565A22EB"/>
    <w:rsid w:val="565F400E"/>
    <w:rsid w:val="56A0254C"/>
    <w:rsid w:val="56AD4B11"/>
    <w:rsid w:val="56CB143B"/>
    <w:rsid w:val="570317F7"/>
    <w:rsid w:val="57081D47"/>
    <w:rsid w:val="571C57F3"/>
    <w:rsid w:val="571E77BD"/>
    <w:rsid w:val="578735B4"/>
    <w:rsid w:val="57D47200"/>
    <w:rsid w:val="57DA78C0"/>
    <w:rsid w:val="57DD5B0B"/>
    <w:rsid w:val="5809221B"/>
    <w:rsid w:val="581B1F4E"/>
    <w:rsid w:val="582F1556"/>
    <w:rsid w:val="58321596"/>
    <w:rsid w:val="58417C07"/>
    <w:rsid w:val="58437663"/>
    <w:rsid w:val="584E7C2E"/>
    <w:rsid w:val="585A2A77"/>
    <w:rsid w:val="58602160"/>
    <w:rsid w:val="58AC4A50"/>
    <w:rsid w:val="58BF7DEE"/>
    <w:rsid w:val="58E95BA9"/>
    <w:rsid w:val="59497D58"/>
    <w:rsid w:val="5952374E"/>
    <w:rsid w:val="595258C3"/>
    <w:rsid w:val="5971064D"/>
    <w:rsid w:val="598B6C60"/>
    <w:rsid w:val="599F30B4"/>
    <w:rsid w:val="59AD1771"/>
    <w:rsid w:val="59BE107D"/>
    <w:rsid w:val="59BE5287"/>
    <w:rsid w:val="59CA0A32"/>
    <w:rsid w:val="59E314B1"/>
    <w:rsid w:val="5A025174"/>
    <w:rsid w:val="5A1030D6"/>
    <w:rsid w:val="5A144EA7"/>
    <w:rsid w:val="5A3069AA"/>
    <w:rsid w:val="5A3A7E07"/>
    <w:rsid w:val="5A5A0B0C"/>
    <w:rsid w:val="5A6000EC"/>
    <w:rsid w:val="5A6951F3"/>
    <w:rsid w:val="5AAE70AA"/>
    <w:rsid w:val="5ACB1A0A"/>
    <w:rsid w:val="5ACD36C8"/>
    <w:rsid w:val="5AD85ED5"/>
    <w:rsid w:val="5AF01470"/>
    <w:rsid w:val="5B0311A3"/>
    <w:rsid w:val="5B047B4D"/>
    <w:rsid w:val="5B0D5B7E"/>
    <w:rsid w:val="5B411CCC"/>
    <w:rsid w:val="5B4B66A7"/>
    <w:rsid w:val="5B57504B"/>
    <w:rsid w:val="5B5A4B3C"/>
    <w:rsid w:val="5BA65FD3"/>
    <w:rsid w:val="5BE71CC8"/>
    <w:rsid w:val="5BED775E"/>
    <w:rsid w:val="5C4668EC"/>
    <w:rsid w:val="5C6739B4"/>
    <w:rsid w:val="5C7A5495"/>
    <w:rsid w:val="5C7B120D"/>
    <w:rsid w:val="5C855BE8"/>
    <w:rsid w:val="5C8B76A2"/>
    <w:rsid w:val="5CB309A7"/>
    <w:rsid w:val="5CC71F9C"/>
    <w:rsid w:val="5D042FB1"/>
    <w:rsid w:val="5D3C6BEF"/>
    <w:rsid w:val="5D53463F"/>
    <w:rsid w:val="5D5C103F"/>
    <w:rsid w:val="5D663C6C"/>
    <w:rsid w:val="5D6B74D4"/>
    <w:rsid w:val="5D7E2D63"/>
    <w:rsid w:val="5D8E3401"/>
    <w:rsid w:val="5D94296A"/>
    <w:rsid w:val="5D991109"/>
    <w:rsid w:val="5D9A3915"/>
    <w:rsid w:val="5DD72473"/>
    <w:rsid w:val="5DF11787"/>
    <w:rsid w:val="5DF57CB3"/>
    <w:rsid w:val="5E0019CA"/>
    <w:rsid w:val="5E2C27BF"/>
    <w:rsid w:val="5E2E29DB"/>
    <w:rsid w:val="5E6D269E"/>
    <w:rsid w:val="5E744166"/>
    <w:rsid w:val="5E79177D"/>
    <w:rsid w:val="5E8F2D4E"/>
    <w:rsid w:val="5EA54320"/>
    <w:rsid w:val="5EAEB0A2"/>
    <w:rsid w:val="5EF6B360"/>
    <w:rsid w:val="5F13572D"/>
    <w:rsid w:val="5F1F2324"/>
    <w:rsid w:val="5F3538F6"/>
    <w:rsid w:val="5F8328B3"/>
    <w:rsid w:val="5FBC5DC5"/>
    <w:rsid w:val="5FBF14DB"/>
    <w:rsid w:val="5FD17AC2"/>
    <w:rsid w:val="5FEC289C"/>
    <w:rsid w:val="60067040"/>
    <w:rsid w:val="603141F8"/>
    <w:rsid w:val="604007A4"/>
    <w:rsid w:val="604F09E7"/>
    <w:rsid w:val="605B738C"/>
    <w:rsid w:val="60765F74"/>
    <w:rsid w:val="60CF73BC"/>
    <w:rsid w:val="60D31618"/>
    <w:rsid w:val="60D3786A"/>
    <w:rsid w:val="60F5158E"/>
    <w:rsid w:val="611539DF"/>
    <w:rsid w:val="611A7247"/>
    <w:rsid w:val="611B4D6D"/>
    <w:rsid w:val="6138147B"/>
    <w:rsid w:val="613F1BD2"/>
    <w:rsid w:val="61480B50"/>
    <w:rsid w:val="616F604D"/>
    <w:rsid w:val="61981EBA"/>
    <w:rsid w:val="619C5EAE"/>
    <w:rsid w:val="61F21F72"/>
    <w:rsid w:val="61FDAFC3"/>
    <w:rsid w:val="62083543"/>
    <w:rsid w:val="62397BA1"/>
    <w:rsid w:val="62410803"/>
    <w:rsid w:val="62830E1C"/>
    <w:rsid w:val="62BD4C4D"/>
    <w:rsid w:val="62C236F2"/>
    <w:rsid w:val="62C70D09"/>
    <w:rsid w:val="62E20295"/>
    <w:rsid w:val="631F0B45"/>
    <w:rsid w:val="632058D7"/>
    <w:rsid w:val="632717A7"/>
    <w:rsid w:val="633A597E"/>
    <w:rsid w:val="634A36E8"/>
    <w:rsid w:val="637B1AF3"/>
    <w:rsid w:val="637F5A87"/>
    <w:rsid w:val="638C6884"/>
    <w:rsid w:val="63B53257"/>
    <w:rsid w:val="644B3B98"/>
    <w:rsid w:val="646F3406"/>
    <w:rsid w:val="648869AC"/>
    <w:rsid w:val="64A137DB"/>
    <w:rsid w:val="64AB2BA7"/>
    <w:rsid w:val="64F80AF6"/>
    <w:rsid w:val="65491EA9"/>
    <w:rsid w:val="65640326"/>
    <w:rsid w:val="65B16B99"/>
    <w:rsid w:val="65CE23AE"/>
    <w:rsid w:val="660D2ED6"/>
    <w:rsid w:val="660E0C4E"/>
    <w:rsid w:val="66551873"/>
    <w:rsid w:val="66807B4C"/>
    <w:rsid w:val="66826C25"/>
    <w:rsid w:val="66910EE1"/>
    <w:rsid w:val="6692787F"/>
    <w:rsid w:val="669F7F7B"/>
    <w:rsid w:val="66BC66AA"/>
    <w:rsid w:val="66DE2AC5"/>
    <w:rsid w:val="66E005EB"/>
    <w:rsid w:val="67310E46"/>
    <w:rsid w:val="67376C31"/>
    <w:rsid w:val="67474847"/>
    <w:rsid w:val="674F751F"/>
    <w:rsid w:val="677B1D91"/>
    <w:rsid w:val="679B2764"/>
    <w:rsid w:val="679D028A"/>
    <w:rsid w:val="67BF9410"/>
    <w:rsid w:val="67D0240D"/>
    <w:rsid w:val="67DFB859"/>
    <w:rsid w:val="68024591"/>
    <w:rsid w:val="68242759"/>
    <w:rsid w:val="6848469A"/>
    <w:rsid w:val="68535090"/>
    <w:rsid w:val="68580655"/>
    <w:rsid w:val="685C0145"/>
    <w:rsid w:val="688D6550"/>
    <w:rsid w:val="68AA0EB0"/>
    <w:rsid w:val="68AB4F0A"/>
    <w:rsid w:val="68B7181F"/>
    <w:rsid w:val="68BC5088"/>
    <w:rsid w:val="68DE0B5A"/>
    <w:rsid w:val="691E53FA"/>
    <w:rsid w:val="692E7025"/>
    <w:rsid w:val="69C53AC8"/>
    <w:rsid w:val="69D1246D"/>
    <w:rsid w:val="6A016594"/>
    <w:rsid w:val="6A5F5CCB"/>
    <w:rsid w:val="6A7C062B"/>
    <w:rsid w:val="6A7D2041"/>
    <w:rsid w:val="6A8E035E"/>
    <w:rsid w:val="6A917936"/>
    <w:rsid w:val="6A9811DC"/>
    <w:rsid w:val="6AA162E3"/>
    <w:rsid w:val="6AA87672"/>
    <w:rsid w:val="6AB04778"/>
    <w:rsid w:val="6AB44268"/>
    <w:rsid w:val="6AED32D6"/>
    <w:rsid w:val="6AF1EF3F"/>
    <w:rsid w:val="6B0845B4"/>
    <w:rsid w:val="6B086362"/>
    <w:rsid w:val="6B390171"/>
    <w:rsid w:val="6B5670CE"/>
    <w:rsid w:val="6B657311"/>
    <w:rsid w:val="6B934BAF"/>
    <w:rsid w:val="6BA53BB1"/>
    <w:rsid w:val="6BAF6B63"/>
    <w:rsid w:val="6BB12556"/>
    <w:rsid w:val="6BBE317A"/>
    <w:rsid w:val="6BC73B27"/>
    <w:rsid w:val="6BD3071E"/>
    <w:rsid w:val="6BDE4348"/>
    <w:rsid w:val="6BDE45F3"/>
    <w:rsid w:val="6BF3491C"/>
    <w:rsid w:val="6C2C5A3B"/>
    <w:rsid w:val="6C6475C8"/>
    <w:rsid w:val="6C7D068A"/>
    <w:rsid w:val="6CCFB09B"/>
    <w:rsid w:val="6CF46B9E"/>
    <w:rsid w:val="6CF9DABA"/>
    <w:rsid w:val="6D401DE3"/>
    <w:rsid w:val="6D4573FA"/>
    <w:rsid w:val="6DAD1516"/>
    <w:rsid w:val="6DC8699C"/>
    <w:rsid w:val="6DDB0B6E"/>
    <w:rsid w:val="6DEFA894"/>
    <w:rsid w:val="6E292877"/>
    <w:rsid w:val="6E492F1A"/>
    <w:rsid w:val="6E55366C"/>
    <w:rsid w:val="6E5D69C5"/>
    <w:rsid w:val="6E9028F6"/>
    <w:rsid w:val="6E907F65"/>
    <w:rsid w:val="6E9E0CAF"/>
    <w:rsid w:val="6EA12D56"/>
    <w:rsid w:val="6EB61D21"/>
    <w:rsid w:val="6EBA7A19"/>
    <w:rsid w:val="6EE449F0"/>
    <w:rsid w:val="6F3A3777"/>
    <w:rsid w:val="6F40431D"/>
    <w:rsid w:val="6F563B40"/>
    <w:rsid w:val="6F5E47A3"/>
    <w:rsid w:val="6F7BCC78"/>
    <w:rsid w:val="6F7C731F"/>
    <w:rsid w:val="6F7F326C"/>
    <w:rsid w:val="6FBD3BBF"/>
    <w:rsid w:val="6FBD596D"/>
    <w:rsid w:val="6FEC1DAE"/>
    <w:rsid w:val="6FED2530"/>
    <w:rsid w:val="6FF765F0"/>
    <w:rsid w:val="6FFF4E08"/>
    <w:rsid w:val="70205EFC"/>
    <w:rsid w:val="70974412"/>
    <w:rsid w:val="709F5073"/>
    <w:rsid w:val="70AD1805"/>
    <w:rsid w:val="70B34FC2"/>
    <w:rsid w:val="70B623BC"/>
    <w:rsid w:val="70D2369A"/>
    <w:rsid w:val="71025602"/>
    <w:rsid w:val="71381023"/>
    <w:rsid w:val="713A123F"/>
    <w:rsid w:val="71A46B79"/>
    <w:rsid w:val="71DB20DB"/>
    <w:rsid w:val="721D0945"/>
    <w:rsid w:val="722F0678"/>
    <w:rsid w:val="7231619E"/>
    <w:rsid w:val="724A3704"/>
    <w:rsid w:val="725B76BF"/>
    <w:rsid w:val="727367B7"/>
    <w:rsid w:val="729F42BC"/>
    <w:rsid w:val="72AB41A3"/>
    <w:rsid w:val="72BF43C3"/>
    <w:rsid w:val="72C94629"/>
    <w:rsid w:val="72D46929"/>
    <w:rsid w:val="73046E24"/>
    <w:rsid w:val="735F2141"/>
    <w:rsid w:val="73A62BBC"/>
    <w:rsid w:val="73B9469D"/>
    <w:rsid w:val="73CB43D1"/>
    <w:rsid w:val="74017DF2"/>
    <w:rsid w:val="742C1313"/>
    <w:rsid w:val="74373814"/>
    <w:rsid w:val="74B520A4"/>
    <w:rsid w:val="74D52875"/>
    <w:rsid w:val="74D83CE8"/>
    <w:rsid w:val="75063912"/>
    <w:rsid w:val="753D4E5A"/>
    <w:rsid w:val="754525C2"/>
    <w:rsid w:val="75630D65"/>
    <w:rsid w:val="75EF43A6"/>
    <w:rsid w:val="75FBB34A"/>
    <w:rsid w:val="7601232C"/>
    <w:rsid w:val="76157B85"/>
    <w:rsid w:val="762D1373"/>
    <w:rsid w:val="7630676D"/>
    <w:rsid w:val="76326989"/>
    <w:rsid w:val="7669062B"/>
    <w:rsid w:val="76BB0D22"/>
    <w:rsid w:val="76E539FB"/>
    <w:rsid w:val="76E85C78"/>
    <w:rsid w:val="77131F68"/>
    <w:rsid w:val="774626EC"/>
    <w:rsid w:val="777C3234"/>
    <w:rsid w:val="77884AB3"/>
    <w:rsid w:val="77963B82"/>
    <w:rsid w:val="77AF566A"/>
    <w:rsid w:val="77B5517C"/>
    <w:rsid w:val="77B5D934"/>
    <w:rsid w:val="77C17FC5"/>
    <w:rsid w:val="77C7300C"/>
    <w:rsid w:val="77D0645A"/>
    <w:rsid w:val="77DE2925"/>
    <w:rsid w:val="77FA34D6"/>
    <w:rsid w:val="780F0D30"/>
    <w:rsid w:val="78175E36"/>
    <w:rsid w:val="782C039D"/>
    <w:rsid w:val="782F3180"/>
    <w:rsid w:val="78300CA6"/>
    <w:rsid w:val="7840713B"/>
    <w:rsid w:val="78727DC5"/>
    <w:rsid w:val="787E5EB6"/>
    <w:rsid w:val="78B11DE7"/>
    <w:rsid w:val="78CC4E73"/>
    <w:rsid w:val="78D9133E"/>
    <w:rsid w:val="78E315A2"/>
    <w:rsid w:val="78FB3062"/>
    <w:rsid w:val="7906346F"/>
    <w:rsid w:val="79226841"/>
    <w:rsid w:val="792626BF"/>
    <w:rsid w:val="792B1ED8"/>
    <w:rsid w:val="792F71B0"/>
    <w:rsid w:val="79A322BD"/>
    <w:rsid w:val="79A66B9A"/>
    <w:rsid w:val="79ED6E4F"/>
    <w:rsid w:val="79F851D5"/>
    <w:rsid w:val="7A320D06"/>
    <w:rsid w:val="7A923E9A"/>
    <w:rsid w:val="7AA339B1"/>
    <w:rsid w:val="7B045492"/>
    <w:rsid w:val="7B0E3521"/>
    <w:rsid w:val="7B1E510C"/>
    <w:rsid w:val="7B4707E1"/>
    <w:rsid w:val="7B566C76"/>
    <w:rsid w:val="7B77863C"/>
    <w:rsid w:val="7B8B4B71"/>
    <w:rsid w:val="7B9009B0"/>
    <w:rsid w:val="7B9B18C9"/>
    <w:rsid w:val="7BBB4D2B"/>
    <w:rsid w:val="7BBF34C0"/>
    <w:rsid w:val="7BCA5082"/>
    <w:rsid w:val="7BE91898"/>
    <w:rsid w:val="7BFE63BE"/>
    <w:rsid w:val="7BFF4A68"/>
    <w:rsid w:val="7C594C70"/>
    <w:rsid w:val="7C8021FC"/>
    <w:rsid w:val="7CA51C63"/>
    <w:rsid w:val="7CB9570E"/>
    <w:rsid w:val="7CD12A58"/>
    <w:rsid w:val="7CED360A"/>
    <w:rsid w:val="7CEEC13F"/>
    <w:rsid w:val="7CFFBC8F"/>
    <w:rsid w:val="7D5D42EC"/>
    <w:rsid w:val="7D6A07B6"/>
    <w:rsid w:val="7D823D52"/>
    <w:rsid w:val="7D837F55"/>
    <w:rsid w:val="7D843935"/>
    <w:rsid w:val="7DBB7264"/>
    <w:rsid w:val="7DC0487A"/>
    <w:rsid w:val="7DCC1471"/>
    <w:rsid w:val="7DCE3877"/>
    <w:rsid w:val="7DFA4230"/>
    <w:rsid w:val="7E1A3F8B"/>
    <w:rsid w:val="7E372D8F"/>
    <w:rsid w:val="7E3D5ECB"/>
    <w:rsid w:val="7E3E411D"/>
    <w:rsid w:val="7E3F60E7"/>
    <w:rsid w:val="7E633B84"/>
    <w:rsid w:val="7E7012FE"/>
    <w:rsid w:val="7E9F26E2"/>
    <w:rsid w:val="7EA61CC2"/>
    <w:rsid w:val="7EA722EE"/>
    <w:rsid w:val="7EB7B229"/>
    <w:rsid w:val="7EC96324"/>
    <w:rsid w:val="7EDF5F60"/>
    <w:rsid w:val="7EEF5011"/>
    <w:rsid w:val="7F312266"/>
    <w:rsid w:val="7F3F4F8E"/>
    <w:rsid w:val="7F7F3509"/>
    <w:rsid w:val="7F9394AF"/>
    <w:rsid w:val="7FBCE939"/>
    <w:rsid w:val="7FE24F7C"/>
    <w:rsid w:val="7FE87505"/>
    <w:rsid w:val="7FFA497A"/>
    <w:rsid w:val="7FFB0C83"/>
    <w:rsid w:val="7FFF73F5"/>
    <w:rsid w:val="7FFFCDF6"/>
    <w:rsid w:val="957DC13B"/>
    <w:rsid w:val="97EF201B"/>
    <w:rsid w:val="9B792F8B"/>
    <w:rsid w:val="9F5DA726"/>
    <w:rsid w:val="9FAF9780"/>
    <w:rsid w:val="AFDFF479"/>
    <w:rsid w:val="AFFFAECA"/>
    <w:rsid w:val="B7F54950"/>
    <w:rsid w:val="B7F76A4D"/>
    <w:rsid w:val="BD5F71F4"/>
    <w:rsid w:val="BEFB8C2D"/>
    <w:rsid w:val="BFFE5260"/>
    <w:rsid w:val="BFFFC3B4"/>
    <w:rsid w:val="C67F8C60"/>
    <w:rsid w:val="CAF9B2F6"/>
    <w:rsid w:val="CCFF0927"/>
    <w:rsid w:val="D1FD5B78"/>
    <w:rsid w:val="DCCCC55C"/>
    <w:rsid w:val="DCFE4A5E"/>
    <w:rsid w:val="E9F775DF"/>
    <w:rsid w:val="EB5F27AE"/>
    <w:rsid w:val="EBBE9BEF"/>
    <w:rsid w:val="EBBF46D8"/>
    <w:rsid w:val="EBFD6A46"/>
    <w:rsid w:val="ED7F89F9"/>
    <w:rsid w:val="EEBF8F03"/>
    <w:rsid w:val="EFF7CC23"/>
    <w:rsid w:val="F27B6EC7"/>
    <w:rsid w:val="F3FF06DF"/>
    <w:rsid w:val="F6FEEF5A"/>
    <w:rsid w:val="F7CF3D2F"/>
    <w:rsid w:val="F7FB05AA"/>
    <w:rsid w:val="FB76007D"/>
    <w:rsid w:val="FB798B2B"/>
    <w:rsid w:val="FB7F1BE6"/>
    <w:rsid w:val="FBECE66B"/>
    <w:rsid w:val="FBFE095C"/>
    <w:rsid w:val="FDBF872C"/>
    <w:rsid w:val="FDEEC3DE"/>
    <w:rsid w:val="FDF1EF1C"/>
    <w:rsid w:val="FDFC6628"/>
    <w:rsid w:val="FE7B596B"/>
    <w:rsid w:val="FE7EBDF5"/>
    <w:rsid w:val="FE9E4A6A"/>
    <w:rsid w:val="FEDF90BB"/>
    <w:rsid w:val="FEF9A0E8"/>
    <w:rsid w:val="FF4E77EE"/>
    <w:rsid w:val="FF4ECC48"/>
    <w:rsid w:val="FF7F0685"/>
    <w:rsid w:val="FF7F9129"/>
    <w:rsid w:val="FFCDBCB6"/>
    <w:rsid w:val="FFEACAF6"/>
    <w:rsid w:val="FFF5E663"/>
    <w:rsid w:val="FFF7F97C"/>
    <w:rsid w:val="FFF9B7B7"/>
    <w:rsid w:val="FFFF3D90"/>
    <w:rsid w:val="FFFF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3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4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4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46"/>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47"/>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48"/>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49"/>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0"/>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1"/>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68"/>
    <w:unhideWhenUsed/>
    <w:qFormat/>
    <w:uiPriority w:val="99"/>
    <w:pPr>
      <w:jc w:val="left"/>
    </w:pPr>
  </w:style>
  <w:style w:type="paragraph" w:styleId="12">
    <w:name w:val="Body Text"/>
    <w:basedOn w:val="1"/>
    <w:link w:val="73"/>
    <w:semiHidden/>
    <w:qFormat/>
    <w:uiPriority w:val="0"/>
    <w:rPr>
      <w:rFonts w:ascii="方正仿宋_GBK" w:hAnsi="方正仿宋_GBK" w:eastAsia="方正仿宋_GBK" w:cs="方正仿宋_GBK"/>
      <w:sz w:val="31"/>
      <w:szCs w:val="31"/>
      <w:lang w:eastAsia="en-US"/>
    </w:rPr>
  </w:style>
  <w:style w:type="paragraph" w:styleId="13">
    <w:name w:val="Body Text Indent"/>
    <w:basedOn w:val="1"/>
    <w:next w:val="1"/>
    <w:link w:val="74"/>
    <w:semiHidden/>
    <w:unhideWhenUsed/>
    <w:qFormat/>
    <w:uiPriority w:val="99"/>
    <w:pPr>
      <w:spacing w:after="120"/>
      <w:ind w:left="420" w:leftChars="200"/>
    </w:pPr>
  </w:style>
  <w:style w:type="paragraph" w:styleId="14">
    <w:name w:val="toc 3"/>
    <w:basedOn w:val="1"/>
    <w:next w:val="1"/>
    <w:unhideWhenUsed/>
    <w:qFormat/>
    <w:uiPriority w:val="39"/>
    <w:pPr>
      <w:ind w:left="840" w:leftChars="400"/>
    </w:pPr>
  </w:style>
  <w:style w:type="paragraph" w:styleId="15">
    <w:name w:val="Date"/>
    <w:basedOn w:val="1"/>
    <w:next w:val="1"/>
    <w:link w:val="63"/>
    <w:semiHidden/>
    <w:unhideWhenUsed/>
    <w:qFormat/>
    <w:uiPriority w:val="99"/>
    <w:pPr>
      <w:ind w:left="100" w:leftChars="2500"/>
    </w:pPr>
  </w:style>
  <w:style w:type="paragraph" w:styleId="16">
    <w:name w:val="endnote text"/>
    <w:basedOn w:val="1"/>
    <w:link w:val="140"/>
    <w:semiHidden/>
    <w:unhideWhenUsed/>
    <w:qFormat/>
    <w:uiPriority w:val="99"/>
    <w:pPr>
      <w:snapToGrid w:val="0"/>
      <w:jc w:val="left"/>
    </w:pPr>
  </w:style>
  <w:style w:type="paragraph" w:styleId="17">
    <w:name w:val="footer"/>
    <w:basedOn w:val="1"/>
    <w:link w:val="67"/>
    <w:unhideWhenUsed/>
    <w:qFormat/>
    <w:uiPriority w:val="99"/>
    <w:pPr>
      <w:tabs>
        <w:tab w:val="center" w:pos="4153"/>
        <w:tab w:val="right" w:pos="8306"/>
      </w:tabs>
      <w:snapToGrid w:val="0"/>
      <w:spacing w:line="240" w:lineRule="atLeast"/>
      <w:jc w:val="left"/>
    </w:pPr>
    <w:rPr>
      <w:sz w:val="18"/>
      <w:szCs w:val="18"/>
    </w:rPr>
  </w:style>
  <w:style w:type="paragraph" w:styleId="18">
    <w:name w:val="header"/>
    <w:basedOn w:val="1"/>
    <w:link w:val="66"/>
    <w:unhideWhenUsed/>
    <w:qFormat/>
    <w:uiPriority w:val="99"/>
    <w:pP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style>
  <w:style w:type="paragraph" w:styleId="20">
    <w:name w:val="Subtitle"/>
    <w:basedOn w:val="1"/>
    <w:next w:val="1"/>
    <w:link w:val="5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footnote text"/>
    <w:basedOn w:val="1"/>
    <w:link w:val="64"/>
    <w:unhideWhenUsed/>
    <w:qFormat/>
    <w:uiPriority w:val="99"/>
    <w:pPr>
      <w:snapToGrid w:val="0"/>
      <w:jc w:val="left"/>
    </w:pPr>
    <w:rPr>
      <w:sz w:val="18"/>
      <w:szCs w:val="18"/>
    </w:rPr>
  </w:style>
  <w:style w:type="paragraph" w:styleId="22">
    <w:name w:val="toc 2"/>
    <w:basedOn w:val="1"/>
    <w:next w:val="1"/>
    <w:unhideWhenUsed/>
    <w:qFormat/>
    <w:uiPriority w:val="39"/>
    <w:pPr>
      <w:ind w:left="420" w:leftChars="200"/>
    </w:pPr>
  </w:style>
  <w:style w:type="paragraph" w:styleId="23">
    <w:name w:val="Normal (Web)"/>
    <w:basedOn w:val="1"/>
    <w:semiHidden/>
    <w:unhideWhenUsed/>
    <w:qFormat/>
    <w:uiPriority w:val="99"/>
    <w:rPr>
      <w:rFonts w:cs="Times New Roman"/>
      <w:sz w:val="24"/>
      <w:szCs w:val="24"/>
    </w:rPr>
  </w:style>
  <w:style w:type="paragraph" w:styleId="24">
    <w:name w:val="Title"/>
    <w:basedOn w:val="1"/>
    <w:next w:val="1"/>
    <w:link w:val="5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5">
    <w:name w:val="annotation subject"/>
    <w:basedOn w:val="11"/>
    <w:next w:val="11"/>
    <w:link w:val="69"/>
    <w:semiHidden/>
    <w:unhideWhenUsed/>
    <w:qFormat/>
    <w:uiPriority w:val="99"/>
    <w:rPr>
      <w:b/>
      <w:bCs/>
    </w:rPr>
  </w:style>
  <w:style w:type="paragraph" w:styleId="26">
    <w:name w:val="Body Text First Indent 2"/>
    <w:link w:val="81"/>
    <w:unhideWhenUsed/>
    <w:qFormat/>
    <w:uiPriority w:val="99"/>
    <w:pPr>
      <w:overflowPunct w:val="0"/>
      <w:autoSpaceDE w:val="0"/>
      <w:autoSpaceDN w:val="0"/>
      <w:adjustRightInd w:val="0"/>
      <w:spacing w:after="120"/>
      <w:ind w:left="420" w:leftChars="200" w:firstLine="420" w:firstLineChars="200"/>
      <w:jc w:val="both"/>
    </w:pPr>
    <w:rPr>
      <w:rFonts w:ascii="Times New Roman" w:hAnsi="Times New Roman" w:eastAsia="方正仿宋_GBK" w:cs="Times New Roman"/>
      <w:sz w:val="28"/>
      <w:lang w:val="en-US" w:eastAsia="zh-CN" w:bidi="ar-SA"/>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endnote reference"/>
    <w:basedOn w:val="29"/>
    <w:semiHidden/>
    <w:unhideWhenUsed/>
    <w:qFormat/>
    <w:uiPriority w:val="99"/>
    <w:rPr>
      <w:vertAlign w:val="superscript"/>
    </w:rPr>
  </w:style>
  <w:style w:type="character" w:styleId="31">
    <w:name w:val="FollowedHyperlink"/>
    <w:basedOn w:val="29"/>
    <w:semiHidden/>
    <w:unhideWhenUsed/>
    <w:qFormat/>
    <w:uiPriority w:val="99"/>
    <w:rPr>
      <w:color w:val="954F72" w:themeColor="followedHyperlink"/>
      <w:u w:val="single"/>
      <w14:textFill>
        <w14:solidFill>
          <w14:schemeClr w14:val="folHlink"/>
        </w14:solidFill>
      </w14:textFill>
    </w:rPr>
  </w:style>
  <w:style w:type="character" w:styleId="32">
    <w:name w:val="Hyperlink"/>
    <w:basedOn w:val="29"/>
    <w:unhideWhenUsed/>
    <w:qFormat/>
    <w:uiPriority w:val="99"/>
    <w:rPr>
      <w:color w:val="0563C1" w:themeColor="hyperlink"/>
      <w:u w:val="single"/>
      <w14:textFill>
        <w14:solidFill>
          <w14:schemeClr w14:val="hlink"/>
        </w14:solidFill>
      </w14:textFill>
    </w:rPr>
  </w:style>
  <w:style w:type="character" w:styleId="33">
    <w:name w:val="annotation reference"/>
    <w:basedOn w:val="29"/>
    <w:semiHidden/>
    <w:unhideWhenUsed/>
    <w:qFormat/>
    <w:uiPriority w:val="99"/>
    <w:rPr>
      <w:sz w:val="21"/>
      <w:szCs w:val="21"/>
    </w:rPr>
  </w:style>
  <w:style w:type="character" w:styleId="34">
    <w:name w:val="footnote reference"/>
    <w:basedOn w:val="29"/>
    <w:unhideWhenUsed/>
    <w:qFormat/>
    <w:uiPriority w:val="0"/>
    <w:rPr>
      <w:vertAlign w:val="superscript"/>
    </w:rPr>
  </w:style>
  <w:style w:type="character" w:customStyle="1" w:styleId="35">
    <w:name w:val="标题 1 字符"/>
    <w:basedOn w:val="29"/>
    <w:link w:val="2"/>
    <w:qFormat/>
    <w:uiPriority w:val="9"/>
    <w:rPr>
      <w:rFonts w:asciiTheme="majorHAnsi" w:hAnsiTheme="majorHAnsi" w:eastAsiaTheme="majorEastAsia" w:cstheme="majorBidi"/>
      <w:color w:val="2F5597" w:themeColor="accent1" w:themeShade="BF"/>
      <w:sz w:val="48"/>
      <w:szCs w:val="48"/>
      <w14:ligatures w14:val="none"/>
    </w:rPr>
  </w:style>
  <w:style w:type="paragraph" w:customStyle="1" w:styleId="36">
    <w:name w:val="正文标题-章"/>
    <w:next w:val="1"/>
    <w:qFormat/>
    <w:uiPriority w:val="0"/>
    <w:pPr>
      <w:numPr>
        <w:ilvl w:val="0"/>
        <w:numId w:val="1"/>
      </w:numPr>
      <w:spacing w:before="100" w:beforeLines="100" w:after="100" w:afterLines="100"/>
      <w:jc w:val="center"/>
      <w:outlineLvl w:val="0"/>
    </w:pPr>
    <w:rPr>
      <w:rFonts w:ascii="Times New Roman" w:hAnsi="Times New Roman" w:eastAsia="方正小标宋_GBK" w:cstheme="minorBidi"/>
      <w:kern w:val="2"/>
      <w:sz w:val="36"/>
      <w:szCs w:val="22"/>
      <w:lang w:val="en-US" w:eastAsia="zh-CN" w:bidi="ar-SA"/>
    </w:rPr>
  </w:style>
  <w:style w:type="paragraph" w:customStyle="1" w:styleId="37">
    <w:name w:val="表格-备注"/>
    <w:next w:val="1"/>
    <w:qFormat/>
    <w:uiPriority w:val="0"/>
    <w:rPr>
      <w:rFonts w:ascii="Times New Roman" w:hAnsi="Times New Roman" w:eastAsia="楷体" w:cstheme="minorBidi"/>
      <w:kern w:val="2"/>
      <w:sz w:val="21"/>
      <w:szCs w:val="22"/>
      <w:lang w:val="en-US" w:eastAsia="zh-CN" w:bidi="ar-SA"/>
    </w:rPr>
  </w:style>
  <w:style w:type="paragraph" w:customStyle="1" w:styleId="38">
    <w:name w:val="表格-标题"/>
    <w:next w:val="1"/>
    <w:qFormat/>
    <w:uiPriority w:val="0"/>
    <w:pPr>
      <w:jc w:val="center"/>
    </w:pPr>
    <w:rPr>
      <w:rFonts w:ascii="Times New Roman" w:hAnsi="Times New Roman" w:eastAsia="黑体" w:cstheme="minorBidi"/>
      <w:kern w:val="2"/>
      <w:sz w:val="30"/>
      <w:szCs w:val="22"/>
      <w:lang w:val="en-US" w:eastAsia="zh-CN" w:bidi="ar-SA"/>
    </w:rPr>
  </w:style>
  <w:style w:type="paragraph" w:customStyle="1" w:styleId="39">
    <w:name w:val="表格-正文"/>
    <w:qFormat/>
    <w:uiPriority w:val="0"/>
    <w:pPr>
      <w:spacing w:line="500" w:lineRule="exact"/>
    </w:pPr>
    <w:rPr>
      <w:rFonts w:ascii="Times New Roman" w:hAnsi="Times New Roman" w:eastAsia="仿宋_GB2312" w:cstheme="minorBidi"/>
      <w:kern w:val="2"/>
      <w:sz w:val="21"/>
      <w:szCs w:val="22"/>
      <w:lang w:val="en-US" w:eastAsia="zh-CN" w:bidi="ar-SA"/>
    </w:rPr>
  </w:style>
  <w:style w:type="paragraph" w:customStyle="1" w:styleId="40">
    <w:name w:val="正文标题-节"/>
    <w:next w:val="1"/>
    <w:qFormat/>
    <w:uiPriority w:val="0"/>
    <w:pPr>
      <w:numPr>
        <w:ilvl w:val="0"/>
        <w:numId w:val="2"/>
      </w:numPr>
      <w:spacing w:before="100" w:beforeLines="100" w:after="100" w:afterLines="100" w:line="460" w:lineRule="exact"/>
      <w:ind w:left="442" w:hanging="442"/>
      <w:jc w:val="center"/>
      <w:outlineLvl w:val="1"/>
    </w:pPr>
    <w:rPr>
      <w:rFonts w:ascii="Times New Roman" w:hAnsi="Times New Roman" w:eastAsia="黑体" w:cstheme="minorBidi"/>
      <w:kern w:val="2"/>
      <w:sz w:val="32"/>
      <w:szCs w:val="22"/>
      <w:lang w:val="en-US" w:eastAsia="zh-CN" w:bidi="ar-SA"/>
    </w:rPr>
  </w:style>
  <w:style w:type="paragraph" w:customStyle="1" w:styleId="41">
    <w:name w:val="正文标题-条目"/>
    <w:next w:val="1"/>
    <w:link w:val="71"/>
    <w:qFormat/>
    <w:uiPriority w:val="0"/>
    <w:pPr>
      <w:numPr>
        <w:ilvl w:val="2"/>
        <w:numId w:val="3"/>
      </w:numPr>
      <w:spacing w:before="156" w:beforeLines="50" w:after="156" w:afterLines="50" w:line="600" w:lineRule="exact"/>
      <w:outlineLvl w:val="2"/>
    </w:pPr>
    <w:rPr>
      <w:rFonts w:ascii="Times New Roman" w:hAnsi="Times New Roman" w:eastAsia="黑体" w:cstheme="minorBidi"/>
      <w:kern w:val="2"/>
      <w:sz w:val="32"/>
      <w:szCs w:val="22"/>
      <w:lang w:val="en-US" w:eastAsia="zh-CN" w:bidi="ar-SA"/>
    </w:rPr>
  </w:style>
  <w:style w:type="paragraph" w:customStyle="1" w:styleId="42">
    <w:name w:val="专栏-标题"/>
    <w:next w:val="43"/>
    <w:qFormat/>
    <w:uiPriority w:val="0"/>
    <w:pPr>
      <w:jc w:val="center"/>
    </w:pPr>
    <w:rPr>
      <w:rFonts w:ascii="Times New Roman" w:hAnsi="Times New Roman" w:eastAsia="黑体" w:cstheme="minorBidi"/>
      <w:kern w:val="2"/>
      <w:sz w:val="30"/>
      <w:szCs w:val="22"/>
      <w:lang w:val="en-US" w:eastAsia="zh-CN" w:bidi="ar-SA"/>
    </w:rPr>
  </w:style>
  <w:style w:type="paragraph" w:customStyle="1" w:styleId="43">
    <w:name w:val="专栏-正文"/>
    <w:qFormat/>
    <w:uiPriority w:val="0"/>
    <w:pPr>
      <w:spacing w:line="500" w:lineRule="exact"/>
    </w:pPr>
    <w:rPr>
      <w:rFonts w:ascii="Times New Roman" w:hAnsi="Times New Roman" w:eastAsia="仿宋_GB2312" w:cstheme="minorBidi"/>
      <w:kern w:val="2"/>
      <w:sz w:val="24"/>
      <w:szCs w:val="22"/>
      <w:lang w:val="en-US" w:eastAsia="zh-CN" w:bidi="ar-SA"/>
    </w:rPr>
  </w:style>
  <w:style w:type="character" w:customStyle="1" w:styleId="44">
    <w:name w:val="标题 2 字符"/>
    <w:basedOn w:val="29"/>
    <w:link w:val="3"/>
    <w:semiHidden/>
    <w:qFormat/>
    <w:uiPriority w:val="9"/>
    <w:rPr>
      <w:rFonts w:asciiTheme="majorHAnsi" w:hAnsiTheme="majorHAnsi" w:eastAsiaTheme="majorEastAsia" w:cstheme="majorBidi"/>
      <w:color w:val="2F5597" w:themeColor="accent1" w:themeShade="BF"/>
      <w:sz w:val="40"/>
      <w:szCs w:val="40"/>
      <w14:ligatures w14:val="none"/>
    </w:rPr>
  </w:style>
  <w:style w:type="character" w:customStyle="1" w:styleId="45">
    <w:name w:val="标题 3 字符"/>
    <w:basedOn w:val="29"/>
    <w:link w:val="4"/>
    <w:semiHidden/>
    <w:qFormat/>
    <w:uiPriority w:val="9"/>
    <w:rPr>
      <w:rFonts w:asciiTheme="majorHAnsi" w:hAnsiTheme="majorHAnsi" w:eastAsiaTheme="majorEastAsia" w:cstheme="majorBidi"/>
      <w:color w:val="2F5597" w:themeColor="accent1" w:themeShade="BF"/>
      <w:sz w:val="32"/>
      <w:szCs w:val="32"/>
      <w14:ligatures w14:val="none"/>
    </w:rPr>
  </w:style>
  <w:style w:type="character" w:customStyle="1" w:styleId="46">
    <w:name w:val="标题 4 字符"/>
    <w:basedOn w:val="29"/>
    <w:link w:val="5"/>
    <w:semiHidden/>
    <w:qFormat/>
    <w:uiPriority w:val="9"/>
    <w:rPr>
      <w:rFonts w:cstheme="majorBidi"/>
      <w:color w:val="2F5597" w:themeColor="accent1" w:themeShade="BF"/>
      <w:sz w:val="28"/>
      <w:szCs w:val="28"/>
      <w14:ligatures w14:val="none"/>
    </w:rPr>
  </w:style>
  <w:style w:type="character" w:customStyle="1" w:styleId="47">
    <w:name w:val="标题 5 字符"/>
    <w:basedOn w:val="29"/>
    <w:link w:val="6"/>
    <w:semiHidden/>
    <w:qFormat/>
    <w:uiPriority w:val="9"/>
    <w:rPr>
      <w:rFonts w:cstheme="majorBidi"/>
      <w:color w:val="2F5597" w:themeColor="accent1" w:themeShade="BF"/>
      <w:sz w:val="24"/>
      <w14:ligatures w14:val="none"/>
    </w:rPr>
  </w:style>
  <w:style w:type="character" w:customStyle="1" w:styleId="48">
    <w:name w:val="标题 6 字符"/>
    <w:basedOn w:val="29"/>
    <w:link w:val="7"/>
    <w:semiHidden/>
    <w:qFormat/>
    <w:uiPriority w:val="9"/>
    <w:rPr>
      <w:rFonts w:cstheme="majorBidi"/>
      <w:b/>
      <w:bCs/>
      <w:color w:val="2F5597" w:themeColor="accent1" w:themeShade="BF"/>
      <w:sz w:val="32"/>
      <w:szCs w:val="22"/>
      <w14:ligatures w14:val="none"/>
    </w:rPr>
  </w:style>
  <w:style w:type="character" w:customStyle="1" w:styleId="49">
    <w:name w:val="标题 7 字符"/>
    <w:basedOn w:val="29"/>
    <w:link w:val="8"/>
    <w:semiHidden/>
    <w:qFormat/>
    <w:uiPriority w:val="9"/>
    <w:rPr>
      <w:rFonts w:cstheme="majorBidi"/>
      <w:b/>
      <w:bCs/>
      <w:color w:val="595959" w:themeColor="text1" w:themeTint="A6"/>
      <w:sz w:val="32"/>
      <w:szCs w:val="22"/>
      <w14:textFill>
        <w14:solidFill>
          <w14:schemeClr w14:val="tx1">
            <w14:lumMod w14:val="65000"/>
            <w14:lumOff w14:val="35000"/>
          </w14:schemeClr>
        </w14:solidFill>
      </w14:textFill>
      <w14:ligatures w14:val="none"/>
    </w:rPr>
  </w:style>
  <w:style w:type="character" w:customStyle="1" w:styleId="50">
    <w:name w:val="标题 8 字符"/>
    <w:basedOn w:val="29"/>
    <w:link w:val="9"/>
    <w:semiHidden/>
    <w:qFormat/>
    <w:uiPriority w:val="9"/>
    <w:rPr>
      <w:rFonts w:cstheme="majorBidi"/>
      <w:color w:val="595959" w:themeColor="text1" w:themeTint="A6"/>
      <w:sz w:val="32"/>
      <w:szCs w:val="22"/>
      <w14:textFill>
        <w14:solidFill>
          <w14:schemeClr w14:val="tx1">
            <w14:lumMod w14:val="65000"/>
            <w14:lumOff w14:val="35000"/>
          </w14:schemeClr>
        </w14:solidFill>
      </w14:textFill>
      <w14:ligatures w14:val="none"/>
    </w:rPr>
  </w:style>
  <w:style w:type="character" w:customStyle="1" w:styleId="51">
    <w:name w:val="标题 9 字符"/>
    <w:basedOn w:val="29"/>
    <w:link w:val="10"/>
    <w:semiHidden/>
    <w:qFormat/>
    <w:uiPriority w:val="9"/>
    <w:rPr>
      <w:rFonts w:eastAsiaTheme="majorEastAsia" w:cstheme="majorBidi"/>
      <w:color w:val="595959" w:themeColor="text1" w:themeTint="A6"/>
      <w:sz w:val="32"/>
      <w:szCs w:val="22"/>
      <w14:textFill>
        <w14:solidFill>
          <w14:schemeClr w14:val="tx1">
            <w14:lumMod w14:val="65000"/>
            <w14:lumOff w14:val="35000"/>
          </w14:schemeClr>
        </w14:solidFill>
      </w14:textFill>
      <w14:ligatures w14:val="none"/>
    </w:rPr>
  </w:style>
  <w:style w:type="character" w:customStyle="1" w:styleId="52">
    <w:name w:val="标题 字符"/>
    <w:basedOn w:val="29"/>
    <w:link w:val="24"/>
    <w:qFormat/>
    <w:uiPriority w:val="10"/>
    <w:rPr>
      <w:rFonts w:asciiTheme="majorHAnsi" w:hAnsiTheme="majorHAnsi" w:eastAsiaTheme="majorEastAsia" w:cstheme="majorBidi"/>
      <w:spacing w:val="-10"/>
      <w:kern w:val="28"/>
      <w:sz w:val="56"/>
      <w:szCs w:val="56"/>
      <w14:ligatures w14:val="none"/>
    </w:rPr>
  </w:style>
  <w:style w:type="character" w:customStyle="1" w:styleId="53">
    <w:name w:val="副标题 字符"/>
    <w:basedOn w:val="29"/>
    <w:link w:val="20"/>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54">
    <w:name w:val="Quote"/>
    <w:basedOn w:val="1"/>
    <w:next w:val="1"/>
    <w:link w:val="5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5">
    <w:name w:val="引用 字符"/>
    <w:basedOn w:val="29"/>
    <w:link w:val="54"/>
    <w:qFormat/>
    <w:uiPriority w:val="29"/>
    <w:rPr>
      <w:rFonts w:ascii="Times New Roman" w:hAnsi="Times New Roman" w:eastAsia="仿宋_GB2312"/>
      <w:i/>
      <w:iCs/>
      <w:color w:val="404040" w:themeColor="text1" w:themeTint="BF"/>
      <w:sz w:val="32"/>
      <w:szCs w:val="22"/>
      <w14:textFill>
        <w14:solidFill>
          <w14:schemeClr w14:val="tx1">
            <w14:lumMod w14:val="75000"/>
            <w14:lumOff w14:val="25000"/>
          </w14:schemeClr>
        </w14:solidFill>
      </w14:textFill>
      <w14:ligatures w14:val="none"/>
    </w:rPr>
  </w:style>
  <w:style w:type="paragraph" w:styleId="56">
    <w:name w:val="List Paragraph"/>
    <w:basedOn w:val="1"/>
    <w:qFormat/>
    <w:uiPriority w:val="99"/>
    <w:pPr>
      <w:ind w:left="720"/>
      <w:contextualSpacing/>
    </w:pPr>
  </w:style>
  <w:style w:type="character" w:customStyle="1" w:styleId="57">
    <w:name w:val="明显强调1"/>
    <w:basedOn w:val="29"/>
    <w:qFormat/>
    <w:uiPriority w:val="21"/>
    <w:rPr>
      <w:i/>
      <w:iCs/>
      <w:color w:val="2F5597" w:themeColor="accent1" w:themeShade="BF"/>
    </w:rPr>
  </w:style>
  <w:style w:type="paragraph" w:styleId="58">
    <w:name w:val="Intense Quote"/>
    <w:basedOn w:val="1"/>
    <w:next w:val="1"/>
    <w:link w:val="5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9">
    <w:name w:val="明显引用 字符"/>
    <w:basedOn w:val="29"/>
    <w:link w:val="58"/>
    <w:qFormat/>
    <w:uiPriority w:val="30"/>
    <w:rPr>
      <w:rFonts w:ascii="Times New Roman" w:hAnsi="Times New Roman" w:eastAsia="仿宋_GB2312"/>
      <w:i/>
      <w:iCs/>
      <w:color w:val="2F5597" w:themeColor="accent1" w:themeShade="BF"/>
      <w:sz w:val="32"/>
      <w:szCs w:val="22"/>
      <w14:ligatures w14:val="none"/>
    </w:rPr>
  </w:style>
  <w:style w:type="character" w:customStyle="1" w:styleId="60">
    <w:name w:val="明显参考1"/>
    <w:basedOn w:val="29"/>
    <w:qFormat/>
    <w:uiPriority w:val="32"/>
    <w:rPr>
      <w:b/>
      <w:bCs/>
      <w:smallCaps/>
      <w:color w:val="2F5597" w:themeColor="accent1" w:themeShade="BF"/>
      <w:spacing w:val="5"/>
    </w:rPr>
  </w:style>
  <w:style w:type="paragraph" w:customStyle="1" w:styleId="61">
    <w:name w:val="正文文字"/>
    <w:basedOn w:val="1"/>
    <w:link w:val="62"/>
    <w:qFormat/>
    <w:uiPriority w:val="0"/>
    <w:pPr>
      <w:widowControl/>
      <w:jc w:val="left"/>
    </w:pPr>
    <w:rPr>
      <w:rFonts w:ascii="楷体" w:hAnsi="楷体" w:cs="Times New Roman"/>
      <w:color w:val="000000"/>
      <w:kern w:val="0"/>
      <w:sz w:val="28"/>
      <w:szCs w:val="28"/>
    </w:rPr>
  </w:style>
  <w:style w:type="character" w:customStyle="1" w:styleId="62">
    <w:name w:val="正文文字 字符"/>
    <w:basedOn w:val="29"/>
    <w:link w:val="61"/>
    <w:qFormat/>
    <w:uiPriority w:val="0"/>
    <w:rPr>
      <w:rFonts w:ascii="楷体" w:hAnsi="楷体" w:eastAsia="仿宋_GB2312" w:cs="Times New Roman"/>
      <w:color w:val="000000"/>
      <w:kern w:val="0"/>
      <w:sz w:val="28"/>
      <w:szCs w:val="28"/>
      <w14:ligatures w14:val="none"/>
    </w:rPr>
  </w:style>
  <w:style w:type="character" w:customStyle="1" w:styleId="63">
    <w:name w:val="日期 字符"/>
    <w:basedOn w:val="29"/>
    <w:link w:val="15"/>
    <w:semiHidden/>
    <w:qFormat/>
    <w:uiPriority w:val="99"/>
    <w:rPr>
      <w:rFonts w:ascii="Times New Roman" w:hAnsi="Times New Roman" w:eastAsia="仿宋_GB2312"/>
      <w:sz w:val="32"/>
      <w:szCs w:val="22"/>
      <w14:ligatures w14:val="none"/>
    </w:rPr>
  </w:style>
  <w:style w:type="character" w:customStyle="1" w:styleId="64">
    <w:name w:val="脚注文本 字符"/>
    <w:basedOn w:val="29"/>
    <w:link w:val="21"/>
    <w:qFormat/>
    <w:uiPriority w:val="99"/>
    <w:rPr>
      <w:rFonts w:ascii="Times New Roman" w:hAnsi="Times New Roman" w:eastAsia="仿宋_GB2312"/>
      <w:sz w:val="18"/>
      <w:szCs w:val="18"/>
      <w14:ligatures w14:val="none"/>
    </w:rPr>
  </w:style>
  <w:style w:type="paragraph" w:customStyle="1" w:styleId="65">
    <w:name w:val="TOC 标题1"/>
    <w:basedOn w:val="2"/>
    <w:next w:val="1"/>
    <w:unhideWhenUsed/>
    <w:qFormat/>
    <w:uiPriority w:val="39"/>
    <w:pPr>
      <w:widowControl/>
      <w:spacing w:before="240" w:after="0" w:line="259" w:lineRule="auto"/>
      <w:ind w:firstLine="0" w:firstLineChars="0"/>
      <w:jc w:val="left"/>
      <w:outlineLvl w:val="9"/>
    </w:pPr>
    <w:rPr>
      <w:kern w:val="0"/>
      <w:sz w:val="32"/>
      <w:szCs w:val="32"/>
    </w:rPr>
  </w:style>
  <w:style w:type="character" w:customStyle="1" w:styleId="66">
    <w:name w:val="页眉 字符"/>
    <w:basedOn w:val="29"/>
    <w:link w:val="18"/>
    <w:qFormat/>
    <w:uiPriority w:val="99"/>
    <w:rPr>
      <w:rFonts w:ascii="Times New Roman" w:hAnsi="Times New Roman" w:eastAsia="仿宋_GB2312"/>
      <w:sz w:val="18"/>
      <w:szCs w:val="18"/>
      <w14:ligatures w14:val="none"/>
    </w:rPr>
  </w:style>
  <w:style w:type="character" w:customStyle="1" w:styleId="67">
    <w:name w:val="页脚 字符"/>
    <w:basedOn w:val="29"/>
    <w:link w:val="17"/>
    <w:qFormat/>
    <w:uiPriority w:val="99"/>
    <w:rPr>
      <w:rFonts w:ascii="Times New Roman" w:hAnsi="Times New Roman" w:eastAsia="仿宋_GB2312"/>
      <w:sz w:val="18"/>
      <w:szCs w:val="18"/>
      <w14:ligatures w14:val="none"/>
    </w:rPr>
  </w:style>
  <w:style w:type="character" w:customStyle="1" w:styleId="68">
    <w:name w:val="批注文字 字符"/>
    <w:basedOn w:val="29"/>
    <w:link w:val="11"/>
    <w:qFormat/>
    <w:uiPriority w:val="99"/>
    <w:rPr>
      <w:rFonts w:ascii="Times New Roman" w:hAnsi="Times New Roman" w:eastAsia="仿宋_GB2312"/>
      <w:sz w:val="32"/>
      <w:szCs w:val="22"/>
      <w14:ligatures w14:val="none"/>
    </w:rPr>
  </w:style>
  <w:style w:type="character" w:customStyle="1" w:styleId="69">
    <w:name w:val="批注主题 字符"/>
    <w:basedOn w:val="68"/>
    <w:link w:val="25"/>
    <w:semiHidden/>
    <w:qFormat/>
    <w:uiPriority w:val="99"/>
    <w:rPr>
      <w:rFonts w:ascii="Times New Roman" w:hAnsi="Times New Roman" w:eastAsia="仿宋_GB2312"/>
      <w:b/>
      <w:bCs/>
      <w:sz w:val="32"/>
      <w:szCs w:val="22"/>
      <w14:ligatures w14:val="none"/>
    </w:rPr>
  </w:style>
  <w:style w:type="paragraph" w:customStyle="1" w:styleId="70">
    <w:name w:val="修订1"/>
    <w:hidden/>
    <w:semiHidden/>
    <w:qFormat/>
    <w:uiPriority w:val="99"/>
    <w:rPr>
      <w:rFonts w:ascii="Times New Roman" w:hAnsi="Times New Roman" w:eastAsia="仿宋_GB2312" w:cstheme="minorBidi"/>
      <w:kern w:val="2"/>
      <w:sz w:val="32"/>
      <w:szCs w:val="22"/>
      <w:lang w:val="en-US" w:eastAsia="zh-CN" w:bidi="ar-SA"/>
    </w:rPr>
  </w:style>
  <w:style w:type="character" w:customStyle="1" w:styleId="71">
    <w:name w:val="正文标题-条目 Char"/>
    <w:link w:val="41"/>
    <w:qFormat/>
    <w:uiPriority w:val="0"/>
    <w:rPr>
      <w:rFonts w:eastAsia="黑体" w:cstheme="minorBidi"/>
      <w:kern w:val="2"/>
      <w:sz w:val="32"/>
      <w:szCs w:val="22"/>
    </w:rPr>
  </w:style>
  <w:style w:type="paragraph" w:customStyle="1" w:styleId="72">
    <w:name w:val="修订2"/>
    <w:hidden/>
    <w:unhideWhenUsed/>
    <w:qFormat/>
    <w:uiPriority w:val="99"/>
    <w:rPr>
      <w:rFonts w:ascii="Times New Roman" w:hAnsi="Times New Roman" w:eastAsia="仿宋_GB2312" w:cstheme="minorBidi"/>
      <w:kern w:val="2"/>
      <w:sz w:val="32"/>
      <w:szCs w:val="22"/>
      <w:lang w:val="en-US" w:eastAsia="zh-CN" w:bidi="ar-SA"/>
    </w:rPr>
  </w:style>
  <w:style w:type="character" w:customStyle="1" w:styleId="73">
    <w:name w:val="正文文本 字符"/>
    <w:basedOn w:val="29"/>
    <w:link w:val="12"/>
    <w:semiHidden/>
    <w:qFormat/>
    <w:uiPriority w:val="0"/>
    <w:rPr>
      <w:rFonts w:ascii="方正仿宋_GBK" w:hAnsi="方正仿宋_GBK" w:eastAsia="方正仿宋_GBK" w:cs="方正仿宋_GBK"/>
      <w:kern w:val="2"/>
      <w:sz w:val="31"/>
      <w:szCs w:val="31"/>
      <w:lang w:eastAsia="en-US"/>
    </w:rPr>
  </w:style>
  <w:style w:type="character" w:customStyle="1" w:styleId="74">
    <w:name w:val="正文文本缩进 字符"/>
    <w:basedOn w:val="29"/>
    <w:link w:val="13"/>
    <w:semiHidden/>
    <w:qFormat/>
    <w:uiPriority w:val="99"/>
    <w:rPr>
      <w:rFonts w:eastAsia="仿宋_GB2312" w:cstheme="minorBidi"/>
      <w:kern w:val="2"/>
      <w:sz w:val="32"/>
      <w:szCs w:val="22"/>
    </w:rPr>
  </w:style>
  <w:style w:type="paragraph" w:customStyle="1" w:styleId="75">
    <w:name w:val="UserStyle_0"/>
    <w:basedOn w:val="1"/>
    <w:qFormat/>
    <w:uiPriority w:val="0"/>
    <w:pPr>
      <w:ind w:left="200" w:leftChars="200"/>
      <w:textAlignment w:val="baseline"/>
    </w:pPr>
  </w:style>
  <w:style w:type="paragraph" w:customStyle="1" w:styleId="76">
    <w:name w:val="修订3"/>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77">
    <w:name w:val="修订4"/>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78">
    <w:name w:val="修订5"/>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79">
    <w:name w:val="样式1"/>
    <w:basedOn w:val="1"/>
    <w:link w:val="80"/>
    <w:qFormat/>
    <w:uiPriority w:val="0"/>
    <w:pPr>
      <w:spacing w:before="156" w:beforeLines="50" w:after="156" w:afterLines="50"/>
      <w:ind w:firstLine="640"/>
      <w:outlineLvl w:val="1"/>
    </w:pPr>
    <w:rPr>
      <w:rFonts w:eastAsia="方正楷体_GBK" w:cs="Times New Roman"/>
      <w:szCs w:val="32"/>
    </w:rPr>
  </w:style>
  <w:style w:type="character" w:customStyle="1" w:styleId="80">
    <w:name w:val="样式1 字符"/>
    <w:basedOn w:val="29"/>
    <w:link w:val="79"/>
    <w:qFormat/>
    <w:uiPriority w:val="0"/>
    <w:rPr>
      <w:rFonts w:eastAsia="方正楷体_GBK"/>
      <w:kern w:val="2"/>
      <w:sz w:val="32"/>
      <w:szCs w:val="32"/>
    </w:rPr>
  </w:style>
  <w:style w:type="character" w:customStyle="1" w:styleId="81">
    <w:name w:val="正文文本首行缩进 2 字符"/>
    <w:basedOn w:val="74"/>
    <w:link w:val="26"/>
    <w:qFormat/>
    <w:uiPriority w:val="99"/>
    <w:rPr>
      <w:rFonts w:eastAsia="方正仿宋_GBK" w:cstheme="minorBidi"/>
      <w:kern w:val="2"/>
      <w:sz w:val="28"/>
      <w:szCs w:val="22"/>
    </w:rPr>
  </w:style>
  <w:style w:type="paragraph" w:customStyle="1" w:styleId="82">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83">
    <w:name w:val="font5"/>
    <w:basedOn w:val="1"/>
    <w:qFormat/>
    <w:uiPriority w:val="0"/>
    <w:pPr>
      <w:widowControl/>
      <w:spacing w:before="100" w:beforeAutospacing="1" w:after="100" w:afterAutospacing="1" w:line="240" w:lineRule="auto"/>
      <w:ind w:firstLine="0" w:firstLineChars="0"/>
      <w:jc w:val="left"/>
    </w:pPr>
    <w:rPr>
      <w:rFonts w:eastAsia="宋体" w:cs="Times New Roman"/>
      <w:kern w:val="0"/>
      <w:sz w:val="28"/>
      <w:szCs w:val="28"/>
    </w:rPr>
  </w:style>
  <w:style w:type="paragraph" w:customStyle="1" w:styleId="84">
    <w:name w:val="font6"/>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8"/>
      <w:szCs w:val="28"/>
    </w:rPr>
  </w:style>
  <w:style w:type="paragraph" w:customStyle="1" w:styleId="85">
    <w:name w:val="font7"/>
    <w:basedOn w:val="1"/>
    <w:qFormat/>
    <w:uiPriority w:val="0"/>
    <w:pPr>
      <w:widowControl/>
      <w:spacing w:before="100" w:beforeAutospacing="1" w:after="100" w:afterAutospacing="1" w:line="240" w:lineRule="auto"/>
      <w:ind w:firstLine="0" w:firstLineChars="0"/>
      <w:jc w:val="left"/>
    </w:pPr>
    <w:rPr>
      <w:rFonts w:eastAsia="宋体" w:cs="Times New Roman"/>
      <w:b/>
      <w:bCs/>
      <w:kern w:val="0"/>
      <w:szCs w:val="32"/>
    </w:rPr>
  </w:style>
  <w:style w:type="paragraph" w:customStyle="1" w:styleId="86">
    <w:name w:val="font8"/>
    <w:basedOn w:val="1"/>
    <w:qFormat/>
    <w:uiPriority w:val="0"/>
    <w:pPr>
      <w:widowControl/>
      <w:spacing w:before="100" w:beforeAutospacing="1" w:after="100" w:afterAutospacing="1" w:line="240" w:lineRule="auto"/>
      <w:ind w:firstLine="0" w:firstLineChars="0"/>
      <w:jc w:val="left"/>
    </w:pPr>
    <w:rPr>
      <w:rFonts w:ascii="宋体" w:hAnsi="宋体" w:eastAsia="宋体" w:cs="宋体"/>
      <w:b/>
      <w:bCs/>
      <w:kern w:val="0"/>
      <w:szCs w:val="32"/>
    </w:rPr>
  </w:style>
  <w:style w:type="paragraph" w:customStyle="1" w:styleId="87">
    <w:name w:val="font9"/>
    <w:basedOn w:val="1"/>
    <w:qFormat/>
    <w:uiPriority w:val="0"/>
    <w:pPr>
      <w:widowControl/>
      <w:spacing w:before="100" w:beforeAutospacing="1" w:after="100" w:afterAutospacing="1" w:line="240" w:lineRule="auto"/>
      <w:ind w:firstLine="0" w:firstLineChars="0"/>
      <w:jc w:val="left"/>
    </w:pPr>
    <w:rPr>
      <w:rFonts w:ascii="宋体" w:hAnsi="宋体" w:eastAsia="宋体" w:cs="宋体"/>
      <w:b/>
      <w:bCs/>
      <w:kern w:val="0"/>
      <w:sz w:val="40"/>
      <w:szCs w:val="40"/>
    </w:rPr>
  </w:style>
  <w:style w:type="paragraph" w:customStyle="1" w:styleId="88">
    <w:name w:val="xl71"/>
    <w:basedOn w:val="1"/>
    <w:qFormat/>
    <w:uiPriority w:val="0"/>
    <w:pPr>
      <w:widowControl/>
      <w:spacing w:before="100" w:beforeAutospacing="1" w:after="100" w:afterAutospacing="1" w:line="240" w:lineRule="auto"/>
      <w:ind w:firstLine="0" w:firstLineChars="0"/>
      <w:jc w:val="center"/>
    </w:pPr>
    <w:rPr>
      <w:rFonts w:eastAsia="宋体" w:cs="Times New Roman"/>
      <w:color w:val="000000"/>
      <w:kern w:val="0"/>
      <w:sz w:val="24"/>
      <w:szCs w:val="24"/>
    </w:rPr>
  </w:style>
  <w:style w:type="paragraph" w:customStyle="1" w:styleId="89">
    <w:name w:val="xl72"/>
    <w:basedOn w:val="1"/>
    <w:qFormat/>
    <w:uiPriority w:val="0"/>
    <w:pPr>
      <w:widowControl/>
      <w:spacing w:before="100" w:beforeAutospacing="1" w:after="100" w:afterAutospacing="1" w:line="240" w:lineRule="auto"/>
      <w:ind w:firstLine="0" w:firstLineChars="0"/>
      <w:jc w:val="center"/>
    </w:pPr>
    <w:rPr>
      <w:rFonts w:eastAsia="宋体" w:cs="Times New Roman"/>
      <w:b/>
      <w:bCs/>
      <w:color w:val="000000"/>
      <w:kern w:val="0"/>
      <w:szCs w:val="32"/>
    </w:rPr>
  </w:style>
  <w:style w:type="paragraph" w:customStyle="1" w:styleId="90">
    <w:name w:val="xl73"/>
    <w:basedOn w:val="1"/>
    <w:qFormat/>
    <w:uiPriority w:val="0"/>
    <w:pPr>
      <w:widowControl/>
      <w:spacing w:before="100" w:beforeAutospacing="1" w:after="100" w:afterAutospacing="1" w:line="240" w:lineRule="auto"/>
      <w:ind w:firstLine="0" w:firstLineChars="0"/>
      <w:jc w:val="left"/>
    </w:pPr>
    <w:rPr>
      <w:rFonts w:eastAsia="宋体" w:cs="Times New Roman"/>
      <w:color w:val="000000"/>
      <w:kern w:val="0"/>
      <w:sz w:val="24"/>
      <w:szCs w:val="24"/>
    </w:rPr>
  </w:style>
  <w:style w:type="paragraph" w:customStyle="1" w:styleId="91">
    <w:name w:val="xl74"/>
    <w:basedOn w:val="1"/>
    <w:qFormat/>
    <w:uiPriority w:val="0"/>
    <w:pPr>
      <w:widowControl/>
      <w:spacing w:before="100" w:beforeAutospacing="1" w:after="100" w:afterAutospacing="1" w:line="240" w:lineRule="auto"/>
      <w:ind w:firstLine="0" w:firstLineChars="0"/>
      <w:jc w:val="left"/>
    </w:pPr>
    <w:rPr>
      <w:rFonts w:eastAsia="宋体" w:cs="Times New Roman"/>
      <w:color w:val="FF0000"/>
      <w:kern w:val="0"/>
      <w:sz w:val="24"/>
      <w:szCs w:val="24"/>
    </w:rPr>
  </w:style>
  <w:style w:type="paragraph" w:customStyle="1" w:styleId="92">
    <w:name w:val="xl75"/>
    <w:basedOn w:val="1"/>
    <w:qFormat/>
    <w:uiPriority w:val="0"/>
    <w:pPr>
      <w:widowControl/>
      <w:spacing w:before="100" w:beforeAutospacing="1" w:after="100" w:afterAutospacing="1" w:line="240" w:lineRule="auto"/>
      <w:ind w:firstLine="0" w:firstLineChars="0"/>
    </w:pPr>
    <w:rPr>
      <w:rFonts w:eastAsia="宋体" w:cs="Times New Roman"/>
      <w:color w:val="000000"/>
      <w:kern w:val="0"/>
      <w:sz w:val="24"/>
      <w:szCs w:val="24"/>
    </w:rPr>
  </w:style>
  <w:style w:type="paragraph" w:customStyle="1" w:styleId="93">
    <w:name w:val="xl76"/>
    <w:basedOn w:val="1"/>
    <w:qFormat/>
    <w:uiPriority w:val="0"/>
    <w:pPr>
      <w:widowControl/>
      <w:spacing w:before="100" w:beforeAutospacing="1" w:after="100" w:afterAutospacing="1" w:line="240" w:lineRule="auto"/>
      <w:ind w:firstLine="0" w:firstLineChars="0"/>
      <w:jc w:val="center"/>
    </w:pPr>
    <w:rPr>
      <w:rFonts w:eastAsia="宋体" w:cs="Times New Roman"/>
      <w:color w:val="000000"/>
      <w:kern w:val="0"/>
      <w:sz w:val="24"/>
      <w:szCs w:val="24"/>
    </w:rPr>
  </w:style>
  <w:style w:type="paragraph" w:customStyle="1" w:styleId="94">
    <w:name w:val="xl77"/>
    <w:basedOn w:val="1"/>
    <w:qFormat/>
    <w:uiPriority w:val="0"/>
    <w:pPr>
      <w:widowControl/>
      <w:spacing w:before="100" w:beforeAutospacing="1" w:after="100" w:afterAutospacing="1" w:line="240" w:lineRule="auto"/>
      <w:ind w:firstLine="0" w:firstLineChars="0"/>
      <w:jc w:val="left"/>
    </w:pPr>
    <w:rPr>
      <w:rFonts w:eastAsia="宋体" w:cs="Times New Roman"/>
      <w:color w:val="000000"/>
      <w:kern w:val="0"/>
      <w:sz w:val="24"/>
      <w:szCs w:val="24"/>
    </w:rPr>
  </w:style>
  <w:style w:type="paragraph" w:customStyle="1" w:styleId="9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kern w:val="0"/>
      <w:sz w:val="28"/>
      <w:szCs w:val="28"/>
    </w:rPr>
  </w:style>
  <w:style w:type="paragraph" w:customStyle="1" w:styleId="96">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eastAsia="宋体" w:cs="Times New Roman"/>
      <w:kern w:val="0"/>
      <w:sz w:val="28"/>
      <w:szCs w:val="28"/>
    </w:rPr>
  </w:style>
  <w:style w:type="paragraph" w:customStyle="1" w:styleId="9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8"/>
      <w:szCs w:val="28"/>
    </w:rPr>
  </w:style>
  <w:style w:type="paragraph" w:customStyle="1" w:styleId="9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Cs w:val="32"/>
    </w:rPr>
  </w:style>
  <w:style w:type="paragraph" w:customStyle="1" w:styleId="99">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eastAsia="宋体" w:cs="Times New Roman"/>
      <w:b/>
      <w:bCs/>
      <w:kern w:val="0"/>
      <w:szCs w:val="32"/>
    </w:rPr>
  </w:style>
  <w:style w:type="paragraph" w:customStyle="1" w:styleId="10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b/>
      <w:bCs/>
      <w:kern w:val="0"/>
      <w:szCs w:val="32"/>
    </w:rPr>
  </w:style>
  <w:style w:type="paragraph" w:customStyle="1" w:styleId="10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Cs w:val="32"/>
    </w:rPr>
  </w:style>
  <w:style w:type="paragraph" w:customStyle="1" w:styleId="10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b/>
      <w:bCs/>
      <w:kern w:val="0"/>
      <w:szCs w:val="32"/>
    </w:rPr>
  </w:style>
  <w:style w:type="paragraph" w:customStyle="1" w:styleId="103">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b/>
      <w:bCs/>
      <w:kern w:val="0"/>
      <w:szCs w:val="32"/>
    </w:rPr>
  </w:style>
  <w:style w:type="paragraph" w:customStyle="1" w:styleId="104">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b/>
      <w:bCs/>
      <w:kern w:val="0"/>
      <w:szCs w:val="32"/>
    </w:rPr>
  </w:style>
  <w:style w:type="paragraph" w:customStyle="1" w:styleId="105">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pPr>
    <w:rPr>
      <w:rFonts w:ascii="宋体" w:hAnsi="宋体" w:eastAsia="宋体" w:cs="宋体"/>
      <w:kern w:val="0"/>
      <w:sz w:val="28"/>
      <w:szCs w:val="28"/>
    </w:rPr>
  </w:style>
  <w:style w:type="paragraph" w:customStyle="1" w:styleId="10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kern w:val="0"/>
      <w:sz w:val="28"/>
      <w:szCs w:val="28"/>
    </w:rPr>
  </w:style>
  <w:style w:type="paragraph" w:customStyle="1" w:styleId="10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8"/>
      <w:szCs w:val="28"/>
    </w:rPr>
  </w:style>
  <w:style w:type="paragraph" w:customStyle="1" w:styleId="10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kern w:val="0"/>
      <w:sz w:val="28"/>
      <w:szCs w:val="28"/>
    </w:rPr>
  </w:style>
  <w:style w:type="paragraph" w:customStyle="1" w:styleId="10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8"/>
      <w:szCs w:val="28"/>
    </w:rPr>
  </w:style>
  <w:style w:type="paragraph" w:customStyle="1" w:styleId="11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pPr>
    <w:rPr>
      <w:rFonts w:ascii="宋体" w:hAnsi="宋体" w:eastAsia="宋体" w:cs="宋体"/>
      <w:kern w:val="0"/>
      <w:sz w:val="28"/>
      <w:szCs w:val="28"/>
    </w:rPr>
  </w:style>
  <w:style w:type="paragraph" w:customStyle="1" w:styleId="1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kern w:val="0"/>
      <w:sz w:val="28"/>
      <w:szCs w:val="28"/>
    </w:rPr>
  </w:style>
  <w:style w:type="paragraph" w:customStyle="1" w:styleId="112">
    <w:name w:val="xl95"/>
    <w:basedOn w:val="1"/>
    <w:qFormat/>
    <w:uiPriority w:val="0"/>
    <w:pPr>
      <w:widowControl/>
      <w:pBdr>
        <w:top w:val="single" w:color="auto" w:sz="4" w:space="0"/>
        <w:left w:val="single" w:color="auto" w:sz="4" w:space="0"/>
      </w:pBdr>
      <w:spacing w:before="100" w:beforeAutospacing="1" w:after="100" w:afterAutospacing="1" w:line="240" w:lineRule="auto"/>
      <w:ind w:firstLine="0" w:firstLineChars="0"/>
      <w:jc w:val="center"/>
    </w:pPr>
    <w:rPr>
      <w:rFonts w:ascii="宋体" w:hAnsi="宋体" w:eastAsia="宋体" w:cs="宋体"/>
      <w:b/>
      <w:bCs/>
      <w:kern w:val="0"/>
      <w:szCs w:val="32"/>
    </w:rPr>
  </w:style>
  <w:style w:type="paragraph" w:customStyle="1" w:styleId="113">
    <w:name w:val="xl96"/>
    <w:basedOn w:val="1"/>
    <w:qFormat/>
    <w:uiPriority w:val="0"/>
    <w:pPr>
      <w:widowControl/>
      <w:pBdr>
        <w:top w:val="single" w:color="auto" w:sz="4" w:space="0"/>
      </w:pBdr>
      <w:spacing w:before="100" w:beforeAutospacing="1" w:after="100" w:afterAutospacing="1" w:line="240" w:lineRule="auto"/>
      <w:ind w:firstLine="0" w:firstLineChars="0"/>
      <w:jc w:val="center"/>
    </w:pPr>
    <w:rPr>
      <w:rFonts w:eastAsia="宋体" w:cs="Times New Roman"/>
      <w:b/>
      <w:bCs/>
      <w:kern w:val="0"/>
      <w:szCs w:val="32"/>
    </w:rPr>
  </w:style>
  <w:style w:type="paragraph" w:customStyle="1" w:styleId="114">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eastAsia="宋体" w:cs="宋体"/>
      <w:b/>
      <w:bCs/>
      <w:kern w:val="0"/>
      <w:szCs w:val="32"/>
    </w:rPr>
  </w:style>
  <w:style w:type="paragraph" w:customStyle="1" w:styleId="115">
    <w:name w:val="xl98"/>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pPr>
    <w:rPr>
      <w:rFonts w:ascii="宋体" w:hAnsi="宋体" w:eastAsia="宋体" w:cs="宋体"/>
      <w:b/>
      <w:bCs/>
      <w:kern w:val="0"/>
      <w:szCs w:val="32"/>
    </w:rPr>
  </w:style>
  <w:style w:type="paragraph" w:customStyle="1" w:styleId="116">
    <w:name w:val="xl99"/>
    <w:basedOn w:val="1"/>
    <w:qFormat/>
    <w:uiPriority w:val="0"/>
    <w:pPr>
      <w:widowControl/>
      <w:pBdr>
        <w:left w:val="single" w:color="auto" w:sz="4" w:space="0"/>
        <w:bottom w:val="single" w:color="auto" w:sz="4" w:space="0"/>
      </w:pBdr>
      <w:spacing w:before="100" w:beforeAutospacing="1" w:after="100" w:afterAutospacing="1" w:line="240" w:lineRule="auto"/>
      <w:ind w:firstLine="0" w:firstLineChars="0"/>
      <w:jc w:val="center"/>
    </w:pPr>
    <w:rPr>
      <w:rFonts w:eastAsia="宋体" w:cs="Times New Roman"/>
      <w:b/>
      <w:bCs/>
      <w:kern w:val="0"/>
      <w:szCs w:val="32"/>
    </w:rPr>
  </w:style>
  <w:style w:type="paragraph" w:customStyle="1" w:styleId="117">
    <w:name w:val="xl100"/>
    <w:basedOn w:val="1"/>
    <w:qFormat/>
    <w:uiPriority w:val="0"/>
    <w:pPr>
      <w:widowControl/>
      <w:pBdr>
        <w:bottom w:val="single" w:color="auto" w:sz="4" w:space="0"/>
      </w:pBdr>
      <w:spacing w:before="100" w:beforeAutospacing="1" w:after="100" w:afterAutospacing="1" w:line="240" w:lineRule="auto"/>
      <w:ind w:firstLine="0" w:firstLineChars="0"/>
      <w:jc w:val="center"/>
    </w:pPr>
    <w:rPr>
      <w:rFonts w:eastAsia="宋体" w:cs="Times New Roman"/>
      <w:b/>
      <w:bCs/>
      <w:kern w:val="0"/>
      <w:szCs w:val="32"/>
    </w:rPr>
  </w:style>
  <w:style w:type="paragraph" w:customStyle="1" w:styleId="118">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eastAsia="宋体" w:cs="Times New Roman"/>
      <w:b/>
      <w:bCs/>
      <w:kern w:val="0"/>
      <w:szCs w:val="32"/>
    </w:rPr>
  </w:style>
  <w:style w:type="paragraph" w:customStyle="1" w:styleId="119">
    <w:name w:val="xl102"/>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pPr>
    <w:rPr>
      <w:rFonts w:eastAsia="宋体" w:cs="Times New Roman"/>
      <w:b/>
      <w:bCs/>
      <w:kern w:val="0"/>
      <w:szCs w:val="32"/>
    </w:rPr>
  </w:style>
  <w:style w:type="paragraph" w:customStyle="1" w:styleId="120">
    <w:name w:val="xl103"/>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pPr>
    <w:rPr>
      <w:rFonts w:eastAsia="宋体" w:cs="Times New Roman"/>
      <w:kern w:val="0"/>
      <w:sz w:val="28"/>
      <w:szCs w:val="28"/>
    </w:rPr>
  </w:style>
  <w:style w:type="paragraph" w:customStyle="1" w:styleId="121">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pPr>
    <w:rPr>
      <w:rFonts w:eastAsia="宋体" w:cs="Times New Roman"/>
      <w:kern w:val="0"/>
      <w:sz w:val="28"/>
      <w:szCs w:val="28"/>
    </w:rPr>
  </w:style>
  <w:style w:type="paragraph" w:customStyle="1" w:styleId="122">
    <w:name w:val="xl105"/>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pPr>
    <w:rPr>
      <w:rFonts w:ascii="宋体" w:hAnsi="宋体" w:eastAsia="宋体" w:cs="宋体"/>
      <w:kern w:val="0"/>
      <w:sz w:val="28"/>
      <w:szCs w:val="28"/>
    </w:rPr>
  </w:style>
  <w:style w:type="paragraph" w:customStyle="1" w:styleId="123">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eastAsia="宋体" w:cs="宋体"/>
      <w:kern w:val="0"/>
      <w:sz w:val="28"/>
      <w:szCs w:val="28"/>
    </w:rPr>
  </w:style>
  <w:style w:type="paragraph" w:customStyle="1" w:styleId="124">
    <w:name w:val="xl107"/>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left"/>
    </w:pPr>
    <w:rPr>
      <w:rFonts w:ascii="宋体" w:hAnsi="宋体" w:eastAsia="宋体" w:cs="宋体"/>
      <w:kern w:val="0"/>
      <w:sz w:val="28"/>
      <w:szCs w:val="28"/>
    </w:rPr>
  </w:style>
  <w:style w:type="paragraph" w:customStyle="1" w:styleId="125">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eastAsia="宋体" w:cs="Times New Roman"/>
      <w:b/>
      <w:bCs/>
      <w:kern w:val="0"/>
      <w:szCs w:val="32"/>
    </w:rPr>
  </w:style>
  <w:style w:type="paragraph" w:customStyle="1" w:styleId="126">
    <w:name w:val="xl109"/>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left"/>
    </w:pPr>
    <w:rPr>
      <w:rFonts w:eastAsia="宋体" w:cs="Times New Roman"/>
      <w:b/>
      <w:bCs/>
      <w:kern w:val="0"/>
      <w:szCs w:val="32"/>
    </w:rPr>
  </w:style>
  <w:style w:type="paragraph" w:customStyle="1" w:styleId="127">
    <w:name w:val="xl110"/>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left"/>
    </w:pPr>
    <w:rPr>
      <w:rFonts w:ascii="宋体" w:hAnsi="宋体" w:eastAsia="宋体" w:cs="宋体"/>
      <w:kern w:val="0"/>
      <w:sz w:val="28"/>
      <w:szCs w:val="28"/>
    </w:rPr>
  </w:style>
  <w:style w:type="paragraph" w:customStyle="1" w:styleId="128">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eastAsia="宋体" w:cs="Times New Roman"/>
      <w:b/>
      <w:bCs/>
      <w:kern w:val="0"/>
      <w:szCs w:val="32"/>
    </w:rPr>
  </w:style>
  <w:style w:type="paragraph" w:customStyle="1" w:styleId="129">
    <w:name w:val="xl112"/>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left"/>
    </w:pPr>
    <w:rPr>
      <w:rFonts w:eastAsia="宋体" w:cs="Times New Roman"/>
      <w:b/>
      <w:bCs/>
      <w:kern w:val="0"/>
      <w:szCs w:val="32"/>
    </w:rPr>
  </w:style>
  <w:style w:type="paragraph" w:customStyle="1" w:styleId="130">
    <w:name w:val="xl69"/>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52"/>
      <w:szCs w:val="52"/>
    </w:rPr>
  </w:style>
  <w:style w:type="paragraph" w:customStyle="1" w:styleId="131">
    <w:name w:val="xl70"/>
    <w:basedOn w:val="1"/>
    <w:qFormat/>
    <w:uiPriority w:val="0"/>
    <w:pPr>
      <w:widowControl/>
      <w:shd w:val="clear" w:color="000000" w:fill="FFFFFF"/>
      <w:spacing w:before="100" w:beforeAutospacing="1" w:after="100" w:afterAutospacing="1" w:line="240" w:lineRule="auto"/>
      <w:ind w:firstLine="0" w:firstLineChars="0"/>
      <w:jc w:val="left"/>
    </w:pPr>
    <w:rPr>
      <w:rFonts w:ascii="宋体" w:hAnsi="宋体" w:eastAsia="宋体" w:cs="宋体"/>
      <w:kern w:val="0"/>
      <w:sz w:val="52"/>
      <w:szCs w:val="52"/>
    </w:rPr>
  </w:style>
  <w:style w:type="character" w:customStyle="1" w:styleId="132">
    <w:name w:val="未处理的提及1"/>
    <w:basedOn w:val="29"/>
    <w:semiHidden/>
    <w:unhideWhenUsed/>
    <w:qFormat/>
    <w:uiPriority w:val="99"/>
    <w:rPr>
      <w:color w:val="605E5C"/>
      <w:shd w:val="clear" w:color="auto" w:fill="E1DFDD"/>
    </w:rPr>
  </w:style>
  <w:style w:type="paragraph" w:customStyle="1" w:styleId="133">
    <w:name w:val="修订6"/>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4">
    <w:name w:val="修订7"/>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5">
    <w:name w:val="修订8"/>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6">
    <w:name w:val="修订9"/>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7">
    <w:name w:val="修订10"/>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8">
    <w:name w:val="修订11"/>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9">
    <w:name w:val="修订12"/>
    <w:hidden/>
    <w:unhideWhenUsed/>
    <w:qFormat/>
    <w:uiPriority w:val="99"/>
    <w:rPr>
      <w:rFonts w:ascii="Times New Roman" w:hAnsi="Times New Roman" w:eastAsia="仿宋_GB2312" w:cstheme="minorBidi"/>
      <w:kern w:val="2"/>
      <w:sz w:val="32"/>
      <w:szCs w:val="22"/>
      <w:lang w:val="en-US" w:eastAsia="zh-CN" w:bidi="ar-SA"/>
    </w:rPr>
  </w:style>
  <w:style w:type="character" w:customStyle="1" w:styleId="140">
    <w:name w:val="尾注文本 字符"/>
    <w:basedOn w:val="29"/>
    <w:link w:val="16"/>
    <w:semiHidden/>
    <w:qFormat/>
    <w:uiPriority w:val="99"/>
    <w:rPr>
      <w:rFonts w:eastAsia="仿宋_GB2312" w:cstheme="minorBidi"/>
      <w:kern w:val="2"/>
      <w:sz w:val="32"/>
      <w:szCs w:val="22"/>
    </w:rPr>
  </w:style>
  <w:style w:type="character" w:customStyle="1" w:styleId="141">
    <w:name w:val="font31"/>
    <w:basedOn w:val="29"/>
    <w:qFormat/>
    <w:uiPriority w:val="0"/>
    <w:rPr>
      <w:rFonts w:hint="eastAsia" w:ascii="仿宋_GB2312" w:eastAsia="仿宋_GB2312" w:cs="仿宋_GB2312"/>
      <w:color w:val="000000"/>
      <w:sz w:val="21"/>
      <w:szCs w:val="21"/>
      <w:u w:val="none"/>
      <w:vertAlign w:val="subscript"/>
    </w:rPr>
  </w:style>
  <w:style w:type="character" w:customStyle="1" w:styleId="142">
    <w:name w:val="font21"/>
    <w:basedOn w:val="29"/>
    <w:qFormat/>
    <w:uiPriority w:val="0"/>
    <w:rPr>
      <w:rFonts w:hint="eastAsia" w:ascii="仿宋_GB2312" w:eastAsia="仿宋_GB2312" w:cs="仿宋_GB2312"/>
      <w:color w:val="000000"/>
      <w:sz w:val="21"/>
      <w:szCs w:val="21"/>
      <w:u w:val="none"/>
    </w:rPr>
  </w:style>
  <w:style w:type="paragraph" w:customStyle="1" w:styleId="143">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10972</Words>
  <Characters>11307</Characters>
  <Lines>376</Lines>
  <Paragraphs>105</Paragraphs>
  <TotalTime>8</TotalTime>
  <ScaleCrop>false</ScaleCrop>
  <LinksUpToDate>false</LinksUpToDate>
  <CharactersWithSpaces>11606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2026-03-10T11:11:00Z</dcterms:created>
  <dc:creator>小面包</dc:creator>
  <cp:lastModifiedBy>云影</cp:lastModifiedBy>
  <cp:lastPrinted>2026-04-15T01:30:00Z</cp:lastPrinted>
  <dcterms:modified xsi:type="dcterms:W3CDTF">2026-04-24T00:55:04Z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8559884767354C67A71B0D1ECFAFFA52_13</vt:lpwstr>
  </property>
  <property fmtid="{D5CDD505-2E9C-101B-9397-08002B2CF9AE}" pid="4" name="KSOTemplateDocerSaveRecord">
    <vt:lpwstr>eyJoZGlkIjoiYWYxNmI1MmQyZDI2MWQwOTdjMDAwNGVkZDQzYmE5MTAiLCJ1c2VySWQiOiIxMTY4OTg4MTg5In0=</vt:lpwstr>
  </property>
</Properties>
</file>