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C4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ascii="微软雅黑" w:hAnsi="微软雅黑" w:eastAsia="微软雅黑" w:cs="微软雅黑"/>
          <w:i w:val="0"/>
          <w:iCs w:val="0"/>
          <w:caps w:val="0"/>
          <w:color w:val="000000"/>
          <w:spacing w:val="0"/>
          <w:sz w:val="54"/>
          <w:szCs w:val="54"/>
        </w:rPr>
      </w:pPr>
      <w:bookmarkStart w:id="0" w:name="_GoBack"/>
      <w:r>
        <w:rPr>
          <w:rFonts w:hint="eastAsia" w:ascii="微软雅黑" w:hAnsi="微软雅黑" w:eastAsia="微软雅黑" w:cs="微软雅黑"/>
          <w:i w:val="0"/>
          <w:iCs w:val="0"/>
          <w:caps w:val="0"/>
          <w:color w:val="000000"/>
          <w:spacing w:val="0"/>
          <w:sz w:val="54"/>
          <w:szCs w:val="54"/>
          <w:bdr w:val="none" w:color="auto" w:sz="0" w:space="0"/>
        </w:rPr>
        <w:t>东河区2024年城镇老旧小区改造工作实施方案</w:t>
      </w:r>
    </w:p>
    <w:bookmarkEnd w:id="0"/>
    <w:p w14:paraId="45D24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ascii="仿宋_GB2312" w:hAnsi="微软雅黑" w:eastAsia="仿宋_GB2312" w:cs="仿宋_GB2312"/>
          <w:i w:val="0"/>
          <w:iCs w:val="0"/>
          <w:caps w:val="0"/>
          <w:color w:val="000000"/>
          <w:spacing w:val="0"/>
          <w:sz w:val="31"/>
          <w:szCs w:val="31"/>
          <w:bdr w:val="none" w:color="auto" w:sz="0" w:space="0"/>
        </w:rPr>
      </w:pPr>
    </w:p>
    <w:p w14:paraId="19968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sz w:val="31"/>
          <w:szCs w:val="31"/>
          <w:bdr w:val="none" w:color="auto" w:sz="0" w:space="0"/>
        </w:rPr>
        <w:t>为深入贯彻《国务院办公厅关于全面推进城镇老旧小区改造工作的指导意见》（国办发【</w:t>
      </w:r>
      <w:r>
        <w:rPr>
          <w:rFonts w:hint="default" w:ascii="仿宋_GB2312" w:hAnsi="微软雅黑" w:eastAsia="仿宋_GB2312" w:cs="仿宋_GB2312"/>
          <w:i w:val="0"/>
          <w:iCs w:val="0"/>
          <w:caps w:val="0"/>
          <w:color w:val="000000"/>
          <w:spacing w:val="0"/>
          <w:sz w:val="31"/>
          <w:szCs w:val="31"/>
          <w:bdr w:val="none" w:color="auto" w:sz="0" w:space="0"/>
        </w:rPr>
        <w:t>2020】23号），落实《内蒙古自治区人民政府办公厅关于印发自治区全面推进城镇老旧小区改造工作实施方案的通知》（内政办发【2020】27号）精神，扎实推进全市城镇老旧小区改造工作，不断改善小区人居环境，提升居住品质，满足人民群众对美好生活的需要，按照市委、市政府关于城镇老旧小区改造工作的新标准和新要求，结合我区实际制定本方案。</w:t>
      </w:r>
    </w:p>
    <w:p w14:paraId="64B70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ascii="黑体" w:hAnsi="宋体" w:eastAsia="黑体" w:cs="黑体"/>
          <w:i w:val="0"/>
          <w:iCs w:val="0"/>
          <w:caps w:val="0"/>
          <w:color w:val="000000"/>
          <w:spacing w:val="0"/>
          <w:sz w:val="31"/>
          <w:szCs w:val="31"/>
          <w:bdr w:val="none" w:color="auto" w:sz="0" w:space="0"/>
        </w:rPr>
        <w:t>一、指导思想</w:t>
      </w:r>
    </w:p>
    <w:p w14:paraId="57A21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以习近平新时代中国特色社会主义思想为指导，全面贯彻落实党的二十大精神和中央经济工作会议精神，忠实践行习近平总书记“一个创新、三个实现”重要指示，坚持以人民为中心的发展思想，以改善民生为核心，认真落实全市“双招双引一优化”会议精神，以优化城市人居环境、提高居住品质为目标，秉持集约节约高效统筹的理念，以更新改造基础设施和必备的公共服务设施为重点，着力解决群众反映强烈的老旧小区各类问题，提升居民生活质量，增强城镇老旧小区居民的幸福感、获得感和安全感。</w:t>
      </w:r>
    </w:p>
    <w:p w14:paraId="4B398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000000"/>
          <w:spacing w:val="0"/>
          <w:sz w:val="31"/>
          <w:szCs w:val="31"/>
          <w:bdr w:val="none" w:color="auto" w:sz="0" w:space="0"/>
        </w:rPr>
        <w:t>二、工作目标</w:t>
      </w:r>
    </w:p>
    <w:p w14:paraId="624BE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2024年东河区实施30个城镇老旧小区改造项目，建筑面积44.27万平方米、建筑总栋数为100栋，户数4613户，主要对小区内基础配套设施进行改造，同步实施地上部分的改造提升，优化小区居住环境。</w:t>
      </w:r>
    </w:p>
    <w:p w14:paraId="48B5F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000000"/>
          <w:spacing w:val="0"/>
          <w:sz w:val="31"/>
          <w:szCs w:val="31"/>
          <w:bdr w:val="none" w:color="auto" w:sz="0" w:space="0"/>
        </w:rPr>
        <w:t>三、工作任务</w:t>
      </w:r>
    </w:p>
    <w:p w14:paraId="3CD92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ascii="方正楷体_GBK" w:hAnsi="方正楷体_GBK" w:eastAsia="方正楷体_GBK" w:cs="方正楷体_GBK"/>
          <w:i w:val="0"/>
          <w:iCs w:val="0"/>
          <w:caps w:val="0"/>
          <w:color w:val="000000"/>
          <w:spacing w:val="0"/>
          <w:sz w:val="31"/>
          <w:szCs w:val="31"/>
          <w:bdr w:val="none" w:color="auto" w:sz="0" w:space="0"/>
        </w:rPr>
        <w:t>（一）严把项目评审关，优化改造方案</w:t>
      </w:r>
    </w:p>
    <w:p w14:paraId="5ADF7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1、聚焦急难愁盼问题，广泛征求意见。充分发挥街道、社区的组织前沿作用，通过入户走访、座谈交流、发放征求意见表、组织设计师进社区与居民面对面征求意见等方式，全面了解居民需求，自下而上多渠道征集居民改造意见建议，征集率需达到80%以上。结合居民意见建议和小区特点，量身制定符合小区实际的改造设计方案和具体改造内容清单，按照“一个小区、一套方案”的工作要求，形成各具特色的改造设计方案。</w:t>
      </w:r>
    </w:p>
    <w:p w14:paraId="2AB93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2、严格改造方案评审，提升改造效果。要求委托具有相应资质的设计单位，编制改造设计方案，结合确定的改造设计方案（含改造效果图）和具体改造内容清单上报东河区住房和城乡建设局，专家评审组实地逐一审核，重点对2024年度城镇老旧小区改造设计方案中，涉及的基础配套设施、社区服务设施、公共空间整合提升和城市风貌传承等方面内容进行评审，包括小区各类地下管网、内外建筑外立面特色风格、道路、绿地、亮化、美化、停车位、充电桩、休闲广场、等改造内容，并出具评审意见。</w:t>
      </w:r>
    </w:p>
    <w:p w14:paraId="05748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（二）强化组织统筹，凝聚工作合力</w:t>
      </w:r>
    </w:p>
    <w:p w14:paraId="04AEA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1、结合全民健身场地设施建设，在城镇老旧小区改造中，完成配置体育健身设施。</w:t>
      </w:r>
    </w:p>
    <w:p w14:paraId="61BA5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2、结合城区空中缆线专项整治，在城镇老旧小区改造中推动通信企业完成弱电缆线入地改造。（牵头部门：区工信局；责任单位：区住建局、中国移动包头分公司、中国联通包头市分公司、中国电信包头分公司、中国广电包头市分公司）</w:t>
      </w:r>
    </w:p>
    <w:p w14:paraId="674E6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3、结合城市基础改造，在城镇老旧小区改造中，完成供水管网改造。</w:t>
      </w:r>
    </w:p>
    <w:p w14:paraId="6B8CD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4、结合城市基础改造，在城镇老旧小区改造中，完成供热管网改造，排水管网改造工程。</w:t>
      </w:r>
    </w:p>
    <w:p w14:paraId="046B1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5、结合社区建设，在城镇老旧小区改造中，建立长效管理机制，按照社区基层治理要求，推行红色物业，引入专业化物业管理小区。</w:t>
      </w:r>
    </w:p>
    <w:p w14:paraId="384FB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（三）强化施工过程管理，压实质量安全责任</w:t>
      </w:r>
    </w:p>
    <w:p w14:paraId="2D881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区住建局需按照《包头市城镇老旧小区改造工程项目管理导则》和建设工程管理等相关规定，对改造项目施工现场的工程质量、施工安全和文明施工等工作的监督管理，确保按照改造设计方案专家评审组评审通过的改造设计方案和确定的具体改造内容高质量完成改造任务。</w:t>
      </w:r>
    </w:p>
    <w:p w14:paraId="564BC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（四）强化管理体系建设，创新模式形成示范</w:t>
      </w:r>
    </w:p>
    <w:p w14:paraId="0042F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在城镇老旧小区改造施工现场设置“五牌一图”及公示栏，公示项目概况、改造内容、开竣工时间、区住建部门相关责任人、投诉电话等内容，接受居民咨询及监督。要组织各街道、各社区、各小区的人大代表、政协委员、老干部、老党员和热心居民代表组成义务监督小组，全程参与改造项目，及时反馈市民意见建议。要通过完善提升类示范项目改造，总结提炼可复制、可推广、可借鉴的经验做法，形成各具特色城镇老旧小区改造新模式。</w:t>
      </w:r>
    </w:p>
    <w:p w14:paraId="5FA52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000000"/>
          <w:spacing w:val="0"/>
          <w:sz w:val="31"/>
          <w:szCs w:val="31"/>
          <w:bdr w:val="none" w:color="auto" w:sz="0" w:space="0"/>
        </w:rPr>
        <w:t>四、工作要求</w:t>
      </w:r>
    </w:p>
    <w:p w14:paraId="67D1B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（一）推动项目实施，高质量完成目标任务</w:t>
      </w:r>
    </w:p>
    <w:p w14:paraId="36506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要求要在2023年4月10日前完成可研、立项和招投标等前期手续办理及改造方案评审工作，尽快具备入场条件；10月底前基本完成改造任务；12月底前完成竣工验收工作，并做好工程资料的归档及移交接管等工作。</w:t>
      </w:r>
    </w:p>
    <w:p w14:paraId="2FF89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（二）抓好项目监管，推动项目顺利实施</w:t>
      </w:r>
    </w:p>
    <w:p w14:paraId="4797B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各旗县区政府、稀土高新区管委会要按照《包头市城镇老旧小区改造项目管理导则》要求，规范项目实施中质量监督、文明施工等管理，在最大程度减轻施工对居民日常生活产生影响的前提下，合理安排改造时序、提高工作效率、缩短建设周期，确保改造项目内容、标准符合要求。</w:t>
      </w:r>
    </w:p>
    <w:p w14:paraId="0D06F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方正楷体_GBK" w:hAnsi="方正楷体_GBK" w:eastAsia="方正楷体_GBK" w:cs="方正楷体_GBK"/>
          <w:i w:val="0"/>
          <w:iCs w:val="0"/>
          <w:caps w:val="0"/>
          <w:color w:val="000000"/>
          <w:spacing w:val="0"/>
          <w:sz w:val="31"/>
          <w:szCs w:val="31"/>
          <w:bdr w:val="none" w:color="auto" w:sz="0" w:space="0"/>
        </w:rPr>
        <w:t>（三）组织联合验收，建立长效管理机制</w:t>
      </w:r>
    </w:p>
    <w:p w14:paraId="1178B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要求在老旧小区改造后，组织各参建单位、街道办事处、社区、居民代表会同市住建局进行联合竣工验收，符合要求后将联合竣工验收合格的专营设施设备，依照法定程序统一移交专营单位，由其负责后期运营维护管理。同时，要完善街道办事处主导、社区落实、居民参与、社会力量协同的小区治理体系，建立老旧小区精细化管理模式，引导居民协商确定物业管理内容和收费标准，结合社区基层治理，推行红色物业，实现物业服务全覆盖。</w:t>
      </w:r>
    </w:p>
    <w:p w14:paraId="75945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sz w:val="31"/>
          <w:szCs w:val="31"/>
          <w:bdr w:val="none" w:color="auto" w:sz="0" w:space="0"/>
        </w:rPr>
        <w:t> </w:t>
      </w:r>
    </w:p>
    <w:p w14:paraId="6FA915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F5F63"/>
    <w:rsid w:val="692F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2025-11-24T08:13:00Z</dcterms:created>
  <dc:creator>静</dc:creator>
  <cp:lastModifiedBy>静</cp:lastModifiedBy>
  <dcterms:modified xsi:type="dcterms:W3CDTF">2025-11-24T08:13:45Z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1F45EB7DA676409B90BF9D6CFD1596D4_11</vt:lpwstr>
  </property>
  <property fmtid="{D5CDD505-2E9C-101B-9397-08002B2CF9AE}" pid="4" name="KSOTemplateDocerSaveRecord">
    <vt:lpwstr>eyJoZGlkIjoiMzI0YzE2ZDJmOTE5OGE2NDBmYTk3ZDRhZjEyN2RmYTIiLCJ1c2VySWQiOiIxMTM3Mzg0MDYxIn0=</vt:lpwstr>
  </property>
</Properties>
</file>