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20" w:lineRule="exact"/>
        <w:ind w:right="141" w:rightChars="67"/>
        <w:textAlignment w:val="auto"/>
        <w:rPr>
          <w:rFonts w:hint="eastAsia" w:ascii="方正楷体_GBK" w:hAnsi="方正楷体_GBK" w:eastAsia="方正楷体_GBK" w:cs="方正楷体_GBK"/>
          <w:b/>
          <w:bCs/>
          <w:szCs w:val="21"/>
        </w:rPr>
      </w:pPr>
      <w:r>
        <w:rPr>
          <w:rFonts w:hint="eastAsia" w:ascii="方正楷体_GBK" w:hAnsi="方正楷体_GBK" w:eastAsia="方正楷体_GBK" w:cs="方正楷体_GBK"/>
          <w:b/>
          <w:bCs/>
          <w:szCs w:val="21"/>
        </w:rPr>
        <w:t>东河区十八届人大</w:t>
      </w:r>
    </w:p>
    <w:p>
      <w:pPr>
        <w:keepNext w:val="0"/>
        <w:keepLines w:val="0"/>
        <w:pageBreakBefore w:val="0"/>
        <w:widowControl w:val="0"/>
        <w:kinsoku/>
        <w:wordWrap/>
        <w:overflowPunct/>
        <w:topLinePunct w:val="0"/>
        <w:autoSpaceDE/>
        <w:autoSpaceDN/>
        <w:bidi w:val="0"/>
        <w:adjustRightInd/>
        <w:snapToGrid w:val="0"/>
        <w:spacing w:line="320" w:lineRule="exact"/>
        <w:ind w:left="-6" w:leftChars="0" w:right="141" w:rightChars="67" w:firstLine="1689" w:firstLineChars="801"/>
        <w:textAlignment w:val="auto"/>
        <w:rPr>
          <w:rFonts w:hint="eastAsia" w:ascii="方正楷体_GBK" w:hAnsi="方正楷体_GBK" w:eastAsia="方正楷体_GBK" w:cs="方正楷体_GBK"/>
          <w:b/>
          <w:bCs/>
          <w:szCs w:val="21"/>
          <w:lang w:eastAsia="zh-CN"/>
        </w:rPr>
      </w:pPr>
      <w:r>
        <w:rPr>
          <w:rFonts w:hint="eastAsia" w:ascii="方正楷体_GBK" w:hAnsi="方正楷体_GBK" w:eastAsia="方正楷体_GBK" w:cs="方正楷体_GBK"/>
          <w:b/>
          <w:bCs/>
          <w:szCs w:val="21"/>
        </w:rPr>
        <w:t>文件之</w:t>
      </w:r>
      <w:r>
        <w:rPr>
          <w:rFonts w:hint="eastAsia" w:ascii="方正楷体_GBK" w:hAnsi="方正楷体_GBK" w:eastAsia="方正楷体_GBK" w:cs="方正楷体_GBK"/>
          <w:b/>
          <w:bCs/>
          <w:szCs w:val="21"/>
          <w:lang w:eastAsia="zh-CN"/>
        </w:rPr>
        <w:t>五</w:t>
      </w:r>
    </w:p>
    <w:p>
      <w:pPr>
        <w:keepNext w:val="0"/>
        <w:keepLines w:val="0"/>
        <w:pageBreakBefore w:val="0"/>
        <w:widowControl w:val="0"/>
        <w:kinsoku/>
        <w:wordWrap/>
        <w:overflowPunct/>
        <w:topLinePunct w:val="0"/>
        <w:autoSpaceDE/>
        <w:autoSpaceDN/>
        <w:bidi w:val="0"/>
        <w:adjustRightInd/>
        <w:snapToGrid w:val="0"/>
        <w:spacing w:line="320" w:lineRule="exact"/>
        <w:ind w:right="141" w:rightChars="67"/>
        <w:textAlignment w:val="auto"/>
        <w:rPr>
          <w:rFonts w:hint="eastAsia" w:ascii="宋体" w:hAnsi="宋体" w:cs="方正小标宋简体"/>
          <w:b/>
          <w:bCs/>
          <w:sz w:val="44"/>
          <w:szCs w:val="44"/>
        </w:rPr>
      </w:pPr>
      <w:r>
        <w:rPr>
          <w:rFonts w:hint="eastAsia" w:ascii="方正楷体_GBK" w:hAnsi="方正楷体_GBK" w:eastAsia="方正楷体_GBK" w:cs="方正楷体_GBK"/>
          <w:b/>
          <w:bCs/>
          <w:spacing w:val="142"/>
          <w:sz w:val="21"/>
          <w:szCs w:val="21"/>
        </w:rPr>
        <w:t>一次会议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default" w:ascii="Times New Roman" w:hAnsi="Times New Roman" w:eastAsia="方正小标宋_GBK" w:cs="Times New Roman"/>
          <w:b/>
          <w:color w:val="auto"/>
          <w:sz w:val="44"/>
          <w:szCs w:val="44"/>
          <w:u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before="327" w:beforeLines="100" w:line="700" w:lineRule="exact"/>
        <w:ind w:left="0" w:leftChars="0" w:right="0" w:rightChars="0"/>
        <w:jc w:val="center"/>
        <w:textAlignment w:val="auto"/>
        <w:outlineLvl w:val="9"/>
        <w:rPr>
          <w:rFonts w:hint="default" w:ascii="Times New Roman" w:hAnsi="Times New Roman" w:eastAsia="方正小标宋_GBK" w:cs="Times New Roman"/>
          <w:b/>
          <w:color w:val="auto"/>
          <w:sz w:val="44"/>
          <w:szCs w:val="44"/>
          <w:u w:val="none"/>
        </w:rPr>
      </w:pPr>
      <w:r>
        <w:rPr>
          <w:rFonts w:hint="default" w:ascii="Times New Roman" w:hAnsi="Times New Roman" w:eastAsia="方正小标宋_GBK" w:cs="Times New Roman"/>
          <w:b/>
          <w:color w:val="auto"/>
          <w:sz w:val="44"/>
          <w:szCs w:val="44"/>
          <w:u w:val="none"/>
        </w:rPr>
        <w:t>关于东河区20</w:t>
      </w:r>
      <w:r>
        <w:rPr>
          <w:rFonts w:hint="default" w:ascii="Times New Roman" w:hAnsi="Times New Roman" w:eastAsia="方正小标宋_GBK" w:cs="Times New Roman"/>
          <w:b/>
          <w:color w:val="auto"/>
          <w:sz w:val="44"/>
          <w:szCs w:val="44"/>
          <w:u w:val="none"/>
          <w:lang w:val="en-US" w:eastAsia="zh-CN"/>
        </w:rPr>
        <w:t>21</w:t>
      </w:r>
      <w:r>
        <w:rPr>
          <w:rFonts w:hint="default" w:ascii="Times New Roman" w:hAnsi="Times New Roman" w:eastAsia="方正小标宋_GBK" w:cs="Times New Roman"/>
          <w:b/>
          <w:color w:val="auto"/>
          <w:sz w:val="44"/>
          <w:szCs w:val="44"/>
          <w:u w:val="none"/>
        </w:rPr>
        <w:t>年国民经济和社会</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jc w:val="center"/>
        <w:textAlignment w:val="auto"/>
        <w:outlineLvl w:val="9"/>
        <w:rPr>
          <w:rFonts w:hint="default" w:ascii="Times New Roman" w:hAnsi="Times New Roman" w:eastAsia="方正小标宋_GBK" w:cs="Times New Roman"/>
          <w:b/>
          <w:color w:val="auto"/>
          <w:sz w:val="44"/>
          <w:szCs w:val="44"/>
          <w:u w:val="none"/>
        </w:rPr>
      </w:pPr>
      <w:r>
        <w:rPr>
          <w:rFonts w:hint="default" w:ascii="Times New Roman" w:hAnsi="Times New Roman" w:eastAsia="方正小标宋_GBK" w:cs="Times New Roman"/>
          <w:b/>
          <w:color w:val="auto"/>
          <w:sz w:val="44"/>
          <w:szCs w:val="44"/>
          <w:u w:val="none"/>
        </w:rPr>
        <w:t>发展计划执行情况与20</w:t>
      </w:r>
      <w:r>
        <w:rPr>
          <w:rFonts w:hint="default" w:ascii="Times New Roman" w:hAnsi="Times New Roman" w:eastAsia="方正小标宋_GBK" w:cs="Times New Roman"/>
          <w:b/>
          <w:color w:val="auto"/>
          <w:sz w:val="44"/>
          <w:szCs w:val="44"/>
          <w:u w:val="none"/>
          <w:lang w:val="en-US" w:eastAsia="zh-CN"/>
        </w:rPr>
        <w:t>22</w:t>
      </w:r>
      <w:r>
        <w:rPr>
          <w:rFonts w:hint="default" w:ascii="Times New Roman" w:hAnsi="Times New Roman" w:eastAsia="方正小标宋_GBK" w:cs="Times New Roman"/>
          <w:b/>
          <w:color w:val="auto"/>
          <w:sz w:val="44"/>
          <w:szCs w:val="44"/>
          <w:u w:val="none"/>
        </w:rPr>
        <w:t>年国民经济</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jc w:val="center"/>
        <w:textAlignment w:val="auto"/>
        <w:outlineLvl w:val="9"/>
        <w:rPr>
          <w:rFonts w:hint="default" w:ascii="Times New Roman" w:hAnsi="Times New Roman" w:eastAsia="方正小标宋_GBK" w:cs="Times New Roman"/>
          <w:b/>
          <w:color w:val="auto"/>
          <w:sz w:val="44"/>
          <w:szCs w:val="44"/>
          <w:u w:val="none"/>
        </w:rPr>
      </w:pPr>
      <w:r>
        <w:rPr>
          <w:rFonts w:hint="default" w:ascii="Times New Roman" w:hAnsi="Times New Roman" w:eastAsia="方正小标宋_GBK" w:cs="Times New Roman"/>
          <w:b/>
          <w:color w:val="auto"/>
          <w:sz w:val="44"/>
          <w:szCs w:val="44"/>
          <w:u w:val="none"/>
        </w:rPr>
        <w:t>和社会发展计划草案的报告</w:t>
      </w:r>
    </w:p>
    <w:p>
      <w:pPr>
        <w:pStyle w:val="3"/>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小标宋_GBK" w:cs="Times New Roman"/>
          <w:b/>
          <w:color w:val="auto"/>
          <w:sz w:val="44"/>
          <w:szCs w:val="44"/>
          <w:u w:val="none"/>
        </w:rPr>
      </w:pPr>
    </w:p>
    <w:p>
      <w:pPr>
        <w:keepNext w:val="0"/>
        <w:keepLines w:val="0"/>
        <w:pageBreakBefore w:val="0"/>
        <w:widowControl w:val="0"/>
        <w:kinsoku/>
        <w:wordWrap/>
        <w:overflowPunct/>
        <w:topLinePunct w:val="0"/>
        <w:autoSpaceDE/>
        <w:autoSpaceDN/>
        <w:bidi w:val="0"/>
        <w:adjustRightInd w:val="0"/>
        <w:snapToGrid w:val="0"/>
        <w:spacing w:before="164" w:beforeLines="50" w:line="600" w:lineRule="exact"/>
        <w:jc w:val="center"/>
        <w:textAlignment w:val="auto"/>
        <w:rPr>
          <w:rFonts w:hint="default" w:ascii="Times New Roman" w:hAnsi="Times New Roman" w:eastAsia="方正楷体_GBK" w:cs="Times New Roman"/>
          <w:bCs/>
          <w:sz w:val="32"/>
          <w:szCs w:val="32"/>
          <w:u w:val="none"/>
        </w:rPr>
      </w:pPr>
      <w:r>
        <w:rPr>
          <w:rFonts w:hint="default" w:ascii="Times New Roman" w:hAnsi="Times New Roman" w:eastAsia="方正楷体_GBK" w:cs="Times New Roman"/>
          <w:bCs/>
          <w:sz w:val="32"/>
          <w:szCs w:val="32"/>
          <w:u w:val="none"/>
        </w:rPr>
        <w:t>——2022年</w:t>
      </w:r>
      <w:r>
        <w:rPr>
          <w:rFonts w:hint="default" w:ascii="Times New Roman" w:hAnsi="Times New Roman" w:eastAsia="方正楷体_GBK" w:cs="Times New Roman"/>
          <w:bCs/>
          <w:sz w:val="32"/>
          <w:szCs w:val="32"/>
          <w:u w:val="none"/>
          <w:lang w:val="en-US" w:eastAsia="zh-CN"/>
        </w:rPr>
        <w:t>1</w:t>
      </w:r>
      <w:r>
        <w:rPr>
          <w:rFonts w:hint="default" w:ascii="Times New Roman" w:hAnsi="Times New Roman" w:eastAsia="方正楷体_GBK" w:cs="Times New Roman"/>
          <w:bCs/>
          <w:sz w:val="32"/>
          <w:szCs w:val="32"/>
          <w:u w:val="none"/>
        </w:rPr>
        <w:t>月</w:t>
      </w:r>
      <w:r>
        <w:rPr>
          <w:rFonts w:hint="default" w:ascii="Times New Roman" w:hAnsi="Times New Roman" w:eastAsia="方正楷体_GBK" w:cs="Times New Roman"/>
          <w:bCs/>
          <w:sz w:val="32"/>
          <w:szCs w:val="32"/>
          <w:u w:val="none"/>
          <w:lang w:val="en-US" w:eastAsia="zh-CN"/>
        </w:rPr>
        <w:t>8</w:t>
      </w:r>
      <w:r>
        <w:rPr>
          <w:rFonts w:hint="default" w:ascii="Times New Roman" w:hAnsi="Times New Roman" w:eastAsia="方正楷体_GBK" w:cs="Times New Roman"/>
          <w:bCs/>
          <w:sz w:val="32"/>
          <w:szCs w:val="32"/>
          <w:u w:val="none"/>
        </w:rPr>
        <w:t>日在包头市东河区第十八届人民代表大会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楷体_GBK" w:cs="Times New Roman"/>
          <w:bCs/>
          <w:sz w:val="32"/>
          <w:szCs w:val="32"/>
          <w:u w:val="none"/>
        </w:rPr>
      </w:pPr>
      <w:r>
        <w:rPr>
          <w:rFonts w:hint="default" w:ascii="Times New Roman" w:hAnsi="Times New Roman" w:eastAsia="方正楷体_GBK" w:cs="Times New Roman"/>
          <w:bCs/>
          <w:sz w:val="32"/>
          <w:szCs w:val="32"/>
          <w:u w:val="none"/>
        </w:rPr>
        <w:t>第一次会议上</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Times New Roman" w:hAnsi="Times New Roman" w:eastAsia="方正楷体_GBK" w:cs="Times New Roman"/>
          <w:bCs/>
          <w:sz w:val="32"/>
          <w:szCs w:val="32"/>
          <w:u w:val="none"/>
          <w:lang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eastAsia="方正楷体_GBK"/>
          <w:b/>
          <w:bCs w:val="0"/>
          <w:lang w:eastAsia="zh-CN"/>
        </w:rPr>
      </w:pPr>
      <w:r>
        <w:rPr>
          <w:rFonts w:hint="eastAsia" w:ascii="Times New Roman" w:hAnsi="Times New Roman" w:eastAsia="方正楷体_GBK" w:cs="Times New Roman"/>
          <w:b/>
          <w:bCs w:val="0"/>
          <w:sz w:val="32"/>
          <w:szCs w:val="32"/>
          <w:u w:val="none"/>
          <w:lang w:eastAsia="zh-CN"/>
        </w:rPr>
        <w:t>东河区发展和改革委员会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default" w:ascii="Times New Roman" w:hAnsi="Times New Roman" w:eastAsia="楷体_GB2312" w:cs="Times New Roman"/>
          <w:b/>
          <w:bCs/>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default" w:ascii="Times New Roman" w:hAnsi="Times New Roman" w:eastAsia="方正仿宋_GBK" w:cs="Times New Roman"/>
          <w:snapToGrid w:val="0"/>
          <w:color w:val="auto"/>
          <w:sz w:val="32"/>
          <w:szCs w:val="32"/>
          <w:u w:val="none"/>
        </w:rPr>
      </w:pPr>
      <w:r>
        <w:rPr>
          <w:rFonts w:hint="default" w:ascii="Times New Roman" w:hAnsi="Times New Roman" w:eastAsia="方正仿宋_GBK" w:cs="Times New Roman"/>
          <w:snapToGrid w:val="0"/>
          <w:color w:val="auto"/>
          <w:sz w:val="32"/>
          <w:szCs w:val="32"/>
          <w:u w:val="none"/>
        </w:rPr>
        <w:t>各位代表：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sz w:val="32"/>
          <w:szCs w:val="32"/>
          <w:u w:val="none"/>
        </w:rPr>
      </w:pPr>
      <w:r>
        <w:rPr>
          <w:rFonts w:hint="default" w:ascii="Times New Roman" w:hAnsi="Times New Roman" w:eastAsia="方正仿宋_GBK" w:cs="Times New Roman"/>
          <w:snapToGrid w:val="0"/>
          <w:color w:val="auto"/>
          <w:sz w:val="32"/>
          <w:szCs w:val="32"/>
          <w:u w:val="none"/>
        </w:rPr>
        <w:t>受区人民政府委托，向大会报告全区20</w:t>
      </w:r>
      <w:r>
        <w:rPr>
          <w:rFonts w:hint="default" w:ascii="Times New Roman" w:hAnsi="Times New Roman" w:eastAsia="方正仿宋_GBK" w:cs="Times New Roman"/>
          <w:snapToGrid w:val="0"/>
          <w:color w:val="auto"/>
          <w:sz w:val="32"/>
          <w:szCs w:val="32"/>
          <w:u w:val="none"/>
          <w:lang w:val="en-US" w:eastAsia="zh-CN"/>
        </w:rPr>
        <w:t>21</w:t>
      </w:r>
      <w:r>
        <w:rPr>
          <w:rFonts w:hint="default" w:ascii="Times New Roman" w:hAnsi="Times New Roman" w:eastAsia="方正仿宋_GBK" w:cs="Times New Roman"/>
          <w:snapToGrid w:val="0"/>
          <w:color w:val="auto"/>
          <w:sz w:val="32"/>
          <w:szCs w:val="32"/>
          <w:u w:val="none"/>
        </w:rPr>
        <w:t>年国民经济和社会发展计划执行情况与20</w:t>
      </w:r>
      <w:r>
        <w:rPr>
          <w:rFonts w:hint="default" w:ascii="Times New Roman" w:hAnsi="Times New Roman" w:eastAsia="方正仿宋_GBK" w:cs="Times New Roman"/>
          <w:snapToGrid w:val="0"/>
          <w:color w:val="auto"/>
          <w:sz w:val="32"/>
          <w:szCs w:val="32"/>
          <w:u w:val="none"/>
          <w:lang w:val="en-US" w:eastAsia="zh-CN"/>
        </w:rPr>
        <w:t>22</w:t>
      </w:r>
      <w:r>
        <w:rPr>
          <w:rFonts w:hint="default" w:ascii="Times New Roman" w:hAnsi="Times New Roman" w:eastAsia="方正仿宋_GBK" w:cs="Times New Roman"/>
          <w:snapToGrid w:val="0"/>
          <w:color w:val="auto"/>
          <w:sz w:val="32"/>
          <w:szCs w:val="32"/>
          <w:u w:val="none"/>
        </w:rPr>
        <w:t>年国民经济和社会发展计划草案</w:t>
      </w:r>
      <w:r>
        <w:rPr>
          <w:rFonts w:hint="default" w:ascii="Times New Roman" w:hAnsi="Times New Roman" w:eastAsia="方正仿宋_GBK" w:cs="Times New Roman"/>
          <w:snapToGrid w:val="0"/>
          <w:color w:val="auto"/>
          <w:sz w:val="32"/>
          <w:szCs w:val="32"/>
          <w:u w:val="none"/>
          <w:lang w:eastAsia="zh-CN"/>
        </w:rPr>
        <w:t>，</w:t>
      </w:r>
      <w:r>
        <w:rPr>
          <w:rFonts w:hint="default" w:ascii="Times New Roman" w:hAnsi="Times New Roman" w:eastAsia="仿宋_GB2312" w:cs="Times New Roman"/>
          <w:color w:val="auto"/>
          <w:sz w:val="32"/>
          <w:szCs w:val="32"/>
          <w:u w:val="none"/>
        </w:rPr>
        <w:t>请予审议</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方正仿宋_GBK" w:cs="Times New Roman"/>
          <w:snapToGrid w:val="0"/>
          <w:color w:val="auto"/>
          <w:sz w:val="32"/>
          <w:szCs w:val="32"/>
          <w:u w:val="none"/>
        </w:rPr>
        <w:t>并请各位政协委员和列席会议的同志提出意见。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黑体_GBK" w:cs="Times New Roman"/>
          <w:b/>
          <w:bCs/>
          <w:snapToGrid w:val="0"/>
          <w:color w:val="auto"/>
          <w:sz w:val="32"/>
          <w:szCs w:val="32"/>
          <w:u w:val="none"/>
        </w:rPr>
      </w:pPr>
      <w:r>
        <w:rPr>
          <w:rFonts w:hint="default" w:ascii="Times New Roman" w:hAnsi="Times New Roman" w:eastAsia="方正黑体_GBK" w:cs="Times New Roman"/>
          <w:b/>
          <w:bCs/>
          <w:snapToGrid w:val="0"/>
          <w:color w:val="auto"/>
          <w:sz w:val="32"/>
          <w:szCs w:val="32"/>
          <w:u w:val="none"/>
        </w:rPr>
        <w:t>一、20</w:t>
      </w:r>
      <w:r>
        <w:rPr>
          <w:rFonts w:hint="default" w:ascii="Times New Roman" w:hAnsi="Times New Roman" w:eastAsia="方正黑体_GBK" w:cs="Times New Roman"/>
          <w:b/>
          <w:bCs/>
          <w:snapToGrid w:val="0"/>
          <w:color w:val="auto"/>
          <w:sz w:val="32"/>
          <w:szCs w:val="32"/>
          <w:u w:val="none"/>
          <w:lang w:val="en-US" w:eastAsia="zh-CN"/>
        </w:rPr>
        <w:t>21</w:t>
      </w:r>
      <w:r>
        <w:rPr>
          <w:rFonts w:hint="default" w:ascii="Times New Roman" w:hAnsi="Times New Roman" w:eastAsia="方正黑体_GBK" w:cs="Times New Roman"/>
          <w:b/>
          <w:bCs/>
          <w:snapToGrid w:val="0"/>
          <w:color w:val="auto"/>
          <w:sz w:val="32"/>
          <w:szCs w:val="32"/>
          <w:u w:val="none"/>
        </w:rPr>
        <w:t>年国民经济和社会发展计划执行情况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snapToGrid w:val="0"/>
          <w:color w:val="auto"/>
          <w:sz w:val="32"/>
          <w:szCs w:val="32"/>
          <w:u w:val="none"/>
          <w:lang w:val="en-US" w:eastAsia="zh-CN"/>
        </w:rPr>
        <w:t>今年是党和国家历史上具有里程碑意义的一年，我们从容应对百年变局和世纪疫情，奋力完成改革发展艰巨任务，实现</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十四五</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良好开局。全区上下以习近平新时代中国特色社会主义思想为指导，全面贯彻党的十九大和十九届四中、五中、六中全会、中央经济工作会议精神，全面落实习近平总书记对内蒙古重要讲话重要指示批示精神，坚持稳中求进工作总基调，统筹疫情防控和经济社会发展，扎实做好</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六稳</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工作，全面落实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六保</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任务，全区经济快速稳健恢复，社会民生等事业健康协调发展，总体呈现稳中有进、稳中向好发展态势。</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snapToGrid w:val="0"/>
          <w:color w:val="auto"/>
          <w:sz w:val="32"/>
          <w:szCs w:val="32"/>
          <w:u w:val="none"/>
          <w:lang w:val="en-US" w:eastAsia="zh-CN"/>
        </w:rPr>
        <w:t>预计，全年地区生产总值达到360亿元，同比增长7%；</w:t>
      </w:r>
      <w:r>
        <w:rPr>
          <w:rFonts w:hint="default" w:ascii="Times New Roman" w:hAnsi="Times New Roman" w:eastAsia="方正仿宋_GBK" w:cs="Times New Roman"/>
          <w:color w:val="auto"/>
          <w:sz w:val="32"/>
          <w:szCs w:val="32"/>
          <w:u w:val="none"/>
        </w:rPr>
        <w:t>固定资产投资完成63.4亿元，</w:t>
      </w:r>
      <w:r>
        <w:rPr>
          <w:rFonts w:hint="default" w:ascii="Times New Roman" w:hAnsi="Times New Roman" w:eastAsia="方正仿宋_GBK" w:cs="Times New Roman"/>
          <w:snapToGrid w:val="0"/>
          <w:color w:val="auto"/>
          <w:sz w:val="32"/>
          <w:szCs w:val="32"/>
          <w:u w:val="none"/>
          <w:lang w:val="en-US" w:eastAsia="zh-CN"/>
        </w:rPr>
        <w:t>同比增长20%；社会消费品零售总额完成190亿元，同比增长8%；一般公共预算收入完成11.3亿元，同比增长8.6%</w:t>
      </w:r>
      <w:r>
        <w:rPr>
          <w:rFonts w:hint="default" w:ascii="Times New Roman" w:hAnsi="Times New Roman" w:eastAsia="方正仿宋_GBK" w:cs="Times New Roman"/>
          <w:color w:val="auto"/>
          <w:sz w:val="32"/>
          <w:szCs w:val="32"/>
          <w:u w:val="none"/>
        </w:rPr>
        <w:t>；城乡居民人均可支配收入分别达到50085元和28998元</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val="en-US" w:eastAsia="zh-CN"/>
        </w:rPr>
        <w:t>同比分别增长8%和10%。</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楷体_GBK" w:cs="Times New Roman"/>
          <w:b/>
          <w:bCs/>
          <w:color w:val="auto"/>
          <w:kern w:val="0"/>
          <w:sz w:val="32"/>
          <w:szCs w:val="32"/>
          <w:u w:val="none"/>
        </w:rPr>
        <w:t>（一）三次产业协调发展，经济增长稳中提质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工业经济质效双升。</w:t>
      </w:r>
      <w:r>
        <w:rPr>
          <w:rFonts w:hint="default" w:ascii="Times New Roman" w:hAnsi="Times New Roman" w:eastAsia="方正仿宋_GBK" w:cs="Times New Roman"/>
          <w:snapToGrid w:val="0"/>
          <w:color w:val="auto"/>
          <w:sz w:val="32"/>
          <w:szCs w:val="32"/>
          <w:u w:val="none"/>
          <w:lang w:val="en-US" w:eastAsia="zh-CN"/>
        </w:rPr>
        <w:t>工业园区转型升级迈出新步伐，铝主导产业持续做大做强，盛泰60万只卡巴轮、四通新材年产5万吨铝基稀土功能性中间合金新材料、中氢能源年产1000吨介孔纳米三氧化二铝中试生产线、包铝1万吨高纯铝等一批重大工业项目建成投产达效，华云铁路专用线和输煤系统投入使用，正威（包头）铜基新材料产业园、微科20万吨轻量化铝合金等项目落地，原铝产能达到130万吨，高纯铝产能达到5万吨，铝深加工产品目前已形成600万只铝轮毂，200万套汽车转向节、转向支架、发动机配件，</w:t>
      </w:r>
      <w:r>
        <w:rPr>
          <w:rFonts w:hint="default" w:ascii="Times New Roman" w:hAnsi="Times New Roman" w:eastAsia="方正仿宋_GBK" w:cs="Times New Roman"/>
          <w:snapToGrid w:val="0"/>
          <w:color w:val="auto"/>
          <w:sz w:val="32"/>
          <w:szCs w:val="32"/>
          <w:highlight w:val="none"/>
          <w:u w:val="none"/>
          <w:lang w:val="en-US" w:eastAsia="zh-CN"/>
        </w:rPr>
        <w:t>1800</w:t>
      </w:r>
      <w:r>
        <w:rPr>
          <w:rFonts w:hint="default" w:ascii="Times New Roman" w:hAnsi="Times New Roman" w:eastAsia="方正仿宋_GBK" w:cs="Times New Roman"/>
          <w:snapToGrid w:val="0"/>
          <w:color w:val="auto"/>
          <w:sz w:val="32"/>
          <w:szCs w:val="32"/>
          <w:u w:val="none"/>
          <w:lang w:val="en-US" w:eastAsia="zh-CN"/>
        </w:rPr>
        <w:t>万平方米电子铝箔，60万吨铸造铝合金的产能规模。国家</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城市矿产</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示范基地回收再利用能力稳步提高，华源天鹿10万吨铝灰资源化利用、平远物资200万吨废钢回收加工扩建</w:t>
      </w:r>
      <w:r>
        <w:rPr>
          <w:rFonts w:hint="eastAsia" w:ascii="Times New Roman" w:hAnsi="Times New Roman" w:eastAsia="方正仿宋_GBK" w:cs="Times New Roman"/>
          <w:snapToGrid w:val="0"/>
          <w:color w:val="auto"/>
          <w:sz w:val="32"/>
          <w:szCs w:val="32"/>
          <w:u w:val="none"/>
          <w:lang w:val="en-US" w:eastAsia="zh-CN"/>
        </w:rPr>
        <w:t>工程</w:t>
      </w:r>
      <w:r>
        <w:rPr>
          <w:rFonts w:hint="default" w:ascii="Times New Roman" w:hAnsi="Times New Roman" w:eastAsia="方正仿宋_GBK" w:cs="Times New Roman"/>
          <w:snapToGrid w:val="0"/>
          <w:color w:val="auto"/>
          <w:sz w:val="32"/>
          <w:szCs w:val="32"/>
          <w:u w:val="none"/>
          <w:lang w:val="en-US" w:eastAsia="zh-CN"/>
        </w:rPr>
        <w:t>等一批再生资源项目落地，目前铝业园区已形成再生资源综合利用年处理废钢200万吨、废铝22.5万吨、废塑料6万吨、废橡胶4万吨的产能规模。铝业园区承载和服务能力持续升级，引进有实力企业盘活低效用地，再利用闲置土地、厂房。</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textAlignment w:val="auto"/>
        <w:rPr>
          <w:rFonts w:hint="default" w:ascii="Times New Roman" w:hAnsi="Times New Roman" w:eastAsia="方正仿宋_GBK" w:cs="Times New Roman"/>
          <w:color w:val="auto"/>
          <w:sz w:val="32"/>
          <w:szCs w:val="32"/>
          <w:u w:val="none"/>
        </w:rPr>
      </w:pPr>
      <w:r>
        <w:rPr>
          <w:rFonts w:hint="default" w:ascii="Times New Roman" w:hAnsi="Times New Roman" w:cs="Times New Roman"/>
          <w:b/>
          <w:bCs/>
          <w:color w:val="auto"/>
          <w:kern w:val="21"/>
          <w:u w:val="none"/>
        </w:rPr>
        <w:t>服务业呈现恢复性增长态势。</w:t>
      </w:r>
      <w:r>
        <w:rPr>
          <w:rFonts w:hint="default" w:ascii="Times New Roman" w:hAnsi="Times New Roman" w:eastAsia="方正仿宋_GBK" w:cs="Times New Roman"/>
          <w:color w:val="auto"/>
          <w:sz w:val="32"/>
          <w:szCs w:val="32"/>
          <w:u w:val="none"/>
          <w:lang w:val="en-US" w:eastAsia="zh-CN"/>
        </w:rPr>
        <w:t>对外开放步伐加快，</w:t>
      </w:r>
      <w:r>
        <w:rPr>
          <w:rFonts w:hint="default" w:ascii="Times New Roman" w:hAnsi="Times New Roman" w:eastAsia="方正仿宋_GBK" w:cs="Times New Roman"/>
          <w:color w:val="auto"/>
          <w:sz w:val="32"/>
          <w:szCs w:val="32"/>
          <w:u w:val="none"/>
        </w:rPr>
        <w:t>包头机场航空口岸对外开放</w:t>
      </w:r>
      <w:r>
        <w:rPr>
          <w:rFonts w:hint="default" w:ascii="Times New Roman" w:hAnsi="Times New Roman" w:eastAsia="方正仿宋_GBK" w:cs="Times New Roman"/>
          <w:color w:val="auto"/>
          <w:sz w:val="32"/>
          <w:szCs w:val="32"/>
          <w:u w:val="none"/>
          <w:lang w:val="en-US" w:eastAsia="zh-CN"/>
        </w:rPr>
        <w:t>获得</w:t>
      </w:r>
      <w:r>
        <w:rPr>
          <w:rFonts w:hint="default" w:ascii="Times New Roman" w:hAnsi="Times New Roman" w:eastAsia="方正仿宋_GBK" w:cs="Times New Roman"/>
          <w:color w:val="auto"/>
          <w:sz w:val="32"/>
          <w:szCs w:val="32"/>
          <w:u w:val="none"/>
        </w:rPr>
        <w:t>国务院批复</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拟建</w:t>
      </w:r>
      <w:r>
        <w:rPr>
          <w:rFonts w:hint="default" w:ascii="Times New Roman" w:hAnsi="Times New Roman" w:eastAsia="方正仿宋_GBK" w:cs="Times New Roman"/>
          <w:color w:val="auto"/>
          <w:sz w:val="32"/>
          <w:szCs w:val="32"/>
          <w:u w:val="none"/>
          <w:lang w:eastAsia="zh-CN"/>
        </w:rPr>
        <w:t>海关监管仓</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组建</w:t>
      </w:r>
      <w:r>
        <w:rPr>
          <w:rFonts w:hint="default" w:ascii="Times New Roman" w:hAnsi="Times New Roman" w:eastAsia="方正仿宋_GBK" w:cs="Times New Roman"/>
          <w:color w:val="auto"/>
          <w:sz w:val="32"/>
          <w:szCs w:val="32"/>
          <w:u w:val="none"/>
        </w:rPr>
        <w:t>包头市商贸流通协会</w:t>
      </w:r>
      <w:r>
        <w:rPr>
          <w:rFonts w:hint="default" w:ascii="Times New Roman" w:hAnsi="Times New Roman" w:eastAsia="方正仿宋_GBK" w:cs="Times New Roman"/>
          <w:color w:val="auto"/>
          <w:sz w:val="32"/>
          <w:szCs w:val="32"/>
          <w:u w:val="none"/>
          <w:lang w:eastAsia="zh-CN"/>
        </w:rPr>
        <w:t>，规划商贸业发展布局，促进传统商业提档升级，打造南门外街道东官房社区、南圪洞街道复圣元社区和天骄街道民航东社区</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一刻钟</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便民圈。</w:t>
      </w:r>
      <w:r>
        <w:rPr>
          <w:rFonts w:hint="default" w:ascii="Times New Roman" w:hAnsi="Times New Roman" w:eastAsia="方正仿宋_GBK" w:cs="Times New Roman"/>
          <w:color w:val="auto"/>
          <w:sz w:val="32"/>
          <w:szCs w:val="32"/>
          <w:u w:val="none"/>
        </w:rPr>
        <w:t>推动文商旅深度融合，维多利摩尔城、九曲华街</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吾悦广场城市综合体投入运营，</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老包头记忆</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系列文旅项目一期</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包头</w:t>
      </w:r>
      <w:r>
        <w:rPr>
          <w:rFonts w:hint="default"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color w:val="auto"/>
          <w:sz w:val="32"/>
          <w:szCs w:val="32"/>
          <w:u w:val="none"/>
        </w:rPr>
        <w:t>福巷</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加快建设，重点商圈辐射带动能力显著增强。开展</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回味老包头、约惠新东河</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第二届消费季主题活动，累计直接消费3.6亿余元，带动消费6亿余元。充分挖掘社会消费潜力，支持夜间经济和地摊经济健康有序发展。包头市粮食</w:t>
      </w:r>
      <w:r>
        <w:rPr>
          <w:rFonts w:hint="default" w:ascii="Times New Roman" w:hAnsi="Times New Roman" w:eastAsia="方正仿宋_GBK" w:cs="Times New Roman"/>
          <w:color w:val="auto"/>
          <w:sz w:val="32"/>
          <w:szCs w:val="32"/>
          <w:u w:val="none"/>
          <w:lang w:val="en-US" w:eastAsia="zh-CN"/>
        </w:rPr>
        <w:t>加工贸易物流园</w:t>
      </w:r>
      <w:r>
        <w:rPr>
          <w:rFonts w:hint="default" w:ascii="Times New Roman" w:hAnsi="Times New Roman" w:eastAsia="方正仿宋_GBK" w:cs="Times New Roman"/>
          <w:color w:val="auto"/>
          <w:sz w:val="32"/>
          <w:szCs w:val="32"/>
          <w:u w:val="none"/>
        </w:rPr>
        <w:t>项目</w:t>
      </w:r>
      <w:r>
        <w:rPr>
          <w:rFonts w:hint="default" w:ascii="Times New Roman" w:hAnsi="Times New Roman" w:eastAsia="方正仿宋_GBK" w:cs="Times New Roman"/>
          <w:color w:val="auto"/>
          <w:sz w:val="32"/>
          <w:szCs w:val="32"/>
          <w:u w:val="none"/>
          <w:lang w:val="en-US" w:eastAsia="zh-CN"/>
        </w:rPr>
        <w:t>奠基。</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sz w:val="32"/>
          <w:szCs w:val="32"/>
          <w:u w:val="none"/>
        </w:rPr>
        <w:t>农牧业发展成效显著。</w:t>
      </w:r>
      <w:r>
        <w:rPr>
          <w:rFonts w:hint="default" w:ascii="Times New Roman" w:hAnsi="Times New Roman" w:eastAsia="方正仿宋_GBK" w:cs="Times New Roman"/>
          <w:color w:val="auto"/>
          <w:sz w:val="32"/>
          <w:szCs w:val="32"/>
          <w:u w:val="none"/>
          <w:lang w:val="en-US" w:eastAsia="zh-CN"/>
        </w:rPr>
        <w:t>自治区下达的1.8万亩高标准农田建设项目主体工程基本完工，粮食种植面积约10万亩，产量突破1.5亿斤。集中连片新建改造老旧温室2000亩，设施蔬菜面积达到3.4万亩，年蔬菜种植面积达6.2万亩，产量突破45万吨。牲畜存栏12.1万头（只）、增长6.2%，出栏13.2万头（只）、增长5.8%，肉产量0.2万吨、增长8.8%。率先在全国开展玉米种植施用工业CO</w:t>
      </w:r>
      <w:r>
        <w:rPr>
          <w:rFonts w:hint="default" w:ascii="Times New Roman" w:hAnsi="Times New Roman" w:eastAsia="方正仿宋_GBK" w:cs="Times New Roman"/>
          <w:color w:val="auto"/>
          <w:sz w:val="32"/>
          <w:szCs w:val="32"/>
          <w:u w:val="none"/>
          <w:vertAlign w:val="subscript"/>
          <w:lang w:val="en-US" w:eastAsia="zh-CN"/>
        </w:rPr>
        <w:t>2</w:t>
      </w:r>
      <w:r>
        <w:rPr>
          <w:rFonts w:hint="default" w:ascii="Times New Roman" w:hAnsi="Times New Roman" w:eastAsia="方正仿宋_GBK" w:cs="Times New Roman"/>
          <w:color w:val="auto"/>
          <w:sz w:val="32"/>
          <w:szCs w:val="32"/>
          <w:u w:val="none"/>
          <w:lang w:val="en-US" w:eastAsia="zh-CN"/>
        </w:rPr>
        <w:t>气肥技术，示范推广玉米大豆带状复合种植等新技术2万亩，农牧业年碳排放可控制在1.7万吨左右，年固碳能力可达到11万吨。组织申报市级以上示范社、农牧业产业化联合体6个，累计培育市级以上重点龙头企业22家、市级示范合作社24家、家庭农场142家，农畜产品加工转化率达到73%以上。申报绿色食品认证、名优特新农产品5个，累计培育认证</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两品一标</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经营主体22家、认证农产品128个，处于全市领先水平。</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textAlignment w:val="auto"/>
        <w:rPr>
          <w:rFonts w:hint="default" w:ascii="Times New Roman" w:hAnsi="Times New Roman" w:eastAsia="方正楷体_GBK" w:cs="Times New Roman"/>
          <w:b/>
          <w:bCs/>
          <w:snapToGrid w:val="0"/>
          <w:color w:val="auto"/>
          <w:kern w:val="2"/>
          <w:sz w:val="32"/>
          <w:szCs w:val="32"/>
          <w:u w:val="none"/>
          <w:lang w:val="en-US" w:eastAsia="zh-CN" w:bidi="ar-SA"/>
        </w:rPr>
      </w:pPr>
      <w:r>
        <w:rPr>
          <w:rFonts w:hint="default" w:ascii="Times New Roman" w:hAnsi="Times New Roman" w:eastAsia="方正楷体_GBK" w:cs="Times New Roman"/>
          <w:b/>
          <w:bCs/>
          <w:snapToGrid w:val="0"/>
          <w:color w:val="auto"/>
          <w:kern w:val="2"/>
          <w:sz w:val="32"/>
          <w:szCs w:val="32"/>
          <w:u w:val="none"/>
          <w:lang w:val="en-US" w:eastAsia="zh-CN" w:bidi="ar-SA"/>
        </w:rPr>
        <w:t xml:space="preserve">（二）投资支撑更加有力，发展基础不断夯实 </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textAlignment w:val="auto"/>
        <w:rPr>
          <w:rFonts w:hint="default" w:ascii="Times New Roman" w:hAnsi="Times New Roman" w:eastAsia="方正仿宋_GBK" w:cs="Times New Roman"/>
          <w:snapToGrid w:val="0"/>
          <w:color w:val="auto"/>
          <w:kern w:val="2"/>
          <w:sz w:val="32"/>
          <w:szCs w:val="32"/>
          <w:u w:val="none"/>
          <w:lang w:val="en-US" w:eastAsia="zh-CN" w:bidi="ar-SA"/>
        </w:rPr>
      </w:pPr>
      <w:r>
        <w:rPr>
          <w:rFonts w:hint="default" w:ascii="Times New Roman" w:hAnsi="Times New Roman" w:eastAsia="方正仿宋_GBK" w:cs="Times New Roman"/>
          <w:b/>
          <w:bCs/>
          <w:color w:val="auto"/>
          <w:kern w:val="0"/>
          <w:sz w:val="32"/>
          <w:szCs w:val="32"/>
          <w:u w:val="none"/>
          <w:lang w:val="en-US" w:eastAsia="zh-CN"/>
        </w:rPr>
        <w:t>招商引资成果丰硕。</w:t>
      </w:r>
      <w:r>
        <w:rPr>
          <w:rFonts w:hint="default" w:ascii="Times New Roman" w:hAnsi="Times New Roman" w:eastAsia="方正仿宋_GBK" w:cs="Times New Roman"/>
          <w:snapToGrid w:val="0"/>
          <w:color w:val="auto"/>
          <w:kern w:val="2"/>
          <w:sz w:val="32"/>
          <w:szCs w:val="32"/>
          <w:u w:val="none"/>
          <w:lang w:val="en-US" w:eastAsia="zh-CN" w:bidi="ar-SA"/>
        </w:rPr>
        <w:t>聚力产业链精准招商，制定《东河区进一步落实招商引资链长责任制推动经济高质量发展的实施意见》《东河区服务业领域招商引资工作方案》等举措。举办东河区重大项目集中签约仪式，与上海市崇明区政府签订</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两地融合一体化发展战略协议</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，在四川内蒙古商会建立</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东河区成渝地区招商联络站</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。全年对接</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三类500强</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企业和行业头部企业、新锐企业等各类企业382家。签约项目91个，协议总金额643.6亿元，其中10亿元以上项目17个、亿元以上项目37个。已落地项目61个，协议总金额316亿元。引进国内区外资金19.9亿元，经济发展后劲持续增强。</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textAlignment w:val="auto"/>
        <w:rPr>
          <w:rFonts w:hint="default" w:ascii="Times New Roman" w:hAnsi="Times New Roman" w:eastAsia="方正仿宋_GBK" w:cs="Times New Roman"/>
          <w:snapToGrid w:val="0"/>
          <w:color w:val="auto"/>
          <w:kern w:val="2"/>
          <w:sz w:val="32"/>
          <w:szCs w:val="32"/>
          <w:u w:val="none"/>
          <w:lang w:val="en-US" w:eastAsia="zh-CN" w:bidi="ar-SA"/>
        </w:rPr>
      </w:pPr>
      <w:r>
        <w:rPr>
          <w:rFonts w:hint="default" w:ascii="Times New Roman" w:hAnsi="Times New Roman" w:eastAsia="方正仿宋_GBK" w:cs="Times New Roman"/>
          <w:b/>
          <w:bCs/>
          <w:color w:val="auto"/>
          <w:kern w:val="0"/>
          <w:sz w:val="32"/>
          <w:szCs w:val="32"/>
          <w:u w:val="none"/>
        </w:rPr>
        <w:t>重点项目稳步推进。</w:t>
      </w:r>
      <w:r>
        <w:rPr>
          <w:rFonts w:hint="default" w:ascii="Times New Roman" w:hAnsi="Times New Roman" w:eastAsia="方正仿宋_GBK" w:cs="Times New Roman"/>
          <w:snapToGrid w:val="0"/>
          <w:color w:val="auto"/>
          <w:kern w:val="2"/>
          <w:sz w:val="32"/>
          <w:szCs w:val="32"/>
          <w:u w:val="none"/>
          <w:lang w:val="en-US" w:eastAsia="zh-CN" w:bidi="ar-SA"/>
        </w:rPr>
        <w:t>2021年，总投资356亿元、当年计划投资108.4亿元的85个市级调度</w:t>
      </w:r>
      <w:r>
        <w:rPr>
          <w:rFonts w:hint="eastAsia" w:ascii="Times New Roman" w:hAnsi="Times New Roman" w:eastAsia="方正仿宋_GBK" w:cs="Times New Roman"/>
          <w:snapToGrid w:val="0"/>
          <w:color w:val="auto"/>
          <w:kern w:val="2"/>
          <w:sz w:val="32"/>
          <w:szCs w:val="32"/>
          <w:u w:val="none"/>
          <w:lang w:val="en-US" w:eastAsia="zh-CN" w:bidi="ar-SA"/>
        </w:rPr>
        <w:t>重点</w:t>
      </w:r>
      <w:r>
        <w:rPr>
          <w:rFonts w:hint="default" w:ascii="Times New Roman" w:hAnsi="Times New Roman" w:eastAsia="方正仿宋_GBK" w:cs="Times New Roman"/>
          <w:snapToGrid w:val="0"/>
          <w:color w:val="auto"/>
          <w:kern w:val="2"/>
          <w:sz w:val="32"/>
          <w:szCs w:val="32"/>
          <w:u w:val="none"/>
          <w:lang w:val="en-US" w:eastAsia="zh-CN" w:bidi="ar-SA"/>
        </w:rPr>
        <w:t>项目，立项、规划、国土、环保四项手续全部办结，开复工率100%；完成投资129.9亿元，完成投资率119.8%。建立重大项目颜色预警机制，采用</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红黄绿</w:t>
      </w:r>
      <w:r>
        <w:rPr>
          <w:rFonts w:hint="eastAsia" w:ascii="Times New Roman" w:hAnsi="Times New Roman" w:eastAsia="方正仿宋_GBK" w:cs="Times New Roman"/>
          <w:snapToGrid w:val="0"/>
          <w:color w:val="auto"/>
          <w:kern w:val="2"/>
          <w:sz w:val="32"/>
          <w:szCs w:val="32"/>
          <w:u w:val="none"/>
          <w:lang w:val="en-US" w:eastAsia="zh-CN" w:bidi="ar-SA"/>
        </w:rPr>
        <w:t>”</w:t>
      </w:r>
      <w:r>
        <w:rPr>
          <w:rFonts w:hint="default" w:ascii="Times New Roman" w:hAnsi="Times New Roman" w:eastAsia="方正仿宋_GBK" w:cs="Times New Roman"/>
          <w:snapToGrid w:val="0"/>
          <w:color w:val="auto"/>
          <w:kern w:val="2"/>
          <w:sz w:val="32"/>
          <w:szCs w:val="32"/>
          <w:u w:val="none"/>
          <w:lang w:val="en-US" w:eastAsia="zh-CN" w:bidi="ar-SA"/>
        </w:rPr>
        <w:t>三级预警</w:t>
      </w:r>
      <w:r>
        <w:rPr>
          <w:rFonts w:hint="eastAsia" w:ascii="Times New Roman" w:hAnsi="Times New Roman" w:eastAsia="方正仿宋_GBK" w:cs="Times New Roman"/>
          <w:snapToGrid w:val="0"/>
          <w:color w:val="auto"/>
          <w:kern w:val="2"/>
          <w:sz w:val="32"/>
          <w:szCs w:val="32"/>
          <w:u w:val="none"/>
          <w:lang w:val="en-US" w:eastAsia="zh-CN" w:bidi="ar-SA"/>
        </w:rPr>
        <w:t>颜色</w:t>
      </w:r>
      <w:r>
        <w:rPr>
          <w:rFonts w:hint="default" w:ascii="Times New Roman" w:hAnsi="Times New Roman" w:eastAsia="方正仿宋_GBK" w:cs="Times New Roman"/>
          <w:snapToGrid w:val="0"/>
          <w:color w:val="auto"/>
          <w:kern w:val="2"/>
          <w:sz w:val="32"/>
          <w:szCs w:val="32"/>
          <w:u w:val="none"/>
          <w:lang w:val="en-US" w:eastAsia="zh-CN" w:bidi="ar-SA"/>
        </w:rPr>
        <w:t>对项目建设情况进行公示，提高项目建设紧迫感和责任感。严格落实重大项目三级包联制度，形成</w:t>
      </w:r>
      <w:r>
        <w:rPr>
          <w:rFonts w:hint="default" w:ascii="Times New Roman" w:hAnsi="Times New Roman" w:eastAsia="方正仿宋_GBK" w:cs="Times New Roman"/>
          <w:snapToGrid w:val="0"/>
          <w:color w:val="auto"/>
          <w:spacing w:val="-9"/>
          <w:kern w:val="2"/>
          <w:sz w:val="32"/>
          <w:szCs w:val="32"/>
          <w:u w:val="none"/>
          <w:lang w:val="en-US" w:eastAsia="zh-CN" w:bidi="ar-SA"/>
        </w:rPr>
        <w:t>上下协调配合的联动工作机制，确保项目建设高位推进、高效实</w:t>
      </w:r>
      <w:r>
        <w:rPr>
          <w:rFonts w:hint="default" w:ascii="Times New Roman" w:hAnsi="Times New Roman" w:eastAsia="方正仿宋_GBK" w:cs="Times New Roman"/>
          <w:snapToGrid w:val="0"/>
          <w:color w:val="auto"/>
          <w:kern w:val="2"/>
          <w:sz w:val="32"/>
          <w:szCs w:val="32"/>
          <w:u w:val="none"/>
          <w:lang w:val="en-US" w:eastAsia="zh-CN" w:bidi="ar-SA"/>
        </w:rPr>
        <w:t>施。</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textAlignment w:val="auto"/>
        <w:rPr>
          <w:rFonts w:hint="default" w:ascii="Times New Roman" w:hAnsi="Times New Roman" w:eastAsia="方正仿宋_GBK" w:cs="Times New Roman"/>
          <w:snapToGrid w:val="0"/>
          <w:color w:val="auto"/>
          <w:kern w:val="2"/>
          <w:sz w:val="32"/>
          <w:szCs w:val="32"/>
          <w:u w:val="none"/>
          <w:lang w:val="en-US" w:eastAsia="zh-CN" w:bidi="ar-SA"/>
        </w:rPr>
      </w:pPr>
      <w:r>
        <w:rPr>
          <w:rFonts w:hint="default" w:ascii="Times New Roman" w:hAnsi="Times New Roman" w:eastAsia="方正仿宋_GBK" w:cs="Times New Roman"/>
          <w:b/>
          <w:bCs/>
          <w:snapToGrid w:val="0"/>
          <w:color w:val="auto"/>
          <w:kern w:val="2"/>
          <w:sz w:val="32"/>
          <w:szCs w:val="32"/>
          <w:u w:val="none"/>
          <w:lang w:val="en-US" w:eastAsia="zh-CN" w:bidi="ar-SA"/>
        </w:rPr>
        <w:t>资金保障支撑有力。</w:t>
      </w:r>
      <w:r>
        <w:rPr>
          <w:rFonts w:hint="default" w:ascii="Times New Roman" w:hAnsi="Times New Roman" w:eastAsia="方正仿宋_GBK" w:cs="Times New Roman"/>
          <w:snapToGrid w:val="0"/>
          <w:color w:val="auto"/>
          <w:kern w:val="2"/>
          <w:sz w:val="32"/>
          <w:szCs w:val="32"/>
          <w:u w:val="none"/>
          <w:lang w:val="en-US" w:eastAsia="zh-CN" w:bidi="ar-SA"/>
        </w:rPr>
        <w:t>争资争项能力进一步提升，争取到老旧小区改造专项补助资金3961.2万元、中央预算内资金5589万元、社会福利事业资金1197万元、湿地保护补助资金300万元、少数民族发展资金283万元等。重大风险防范化解力度加大，累计化解政府债务4.8亿元，归还刚性兑付到期本息8.9亿元，实现无分歧账款全部清偿。</w:t>
      </w:r>
    </w:p>
    <w:p>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textAlignment w:val="auto"/>
        <w:rPr>
          <w:rFonts w:hint="default" w:ascii="Times New Roman" w:hAnsi="Times New Roman" w:eastAsia="方正楷体_GBK" w:cs="Times New Roman"/>
          <w:b/>
          <w:bCs/>
          <w:snapToGrid w:val="0"/>
          <w:color w:val="auto"/>
          <w:kern w:val="2"/>
          <w:sz w:val="32"/>
          <w:szCs w:val="32"/>
          <w:u w:val="none"/>
          <w:lang w:val="en-US" w:eastAsia="zh-CN" w:bidi="ar-SA"/>
        </w:rPr>
      </w:pPr>
      <w:r>
        <w:rPr>
          <w:rFonts w:hint="default" w:ascii="Times New Roman" w:hAnsi="Times New Roman" w:eastAsia="方正楷体_GBK" w:cs="Times New Roman"/>
          <w:b/>
          <w:bCs/>
          <w:snapToGrid w:val="0"/>
          <w:color w:val="auto"/>
          <w:kern w:val="2"/>
          <w:sz w:val="32"/>
          <w:szCs w:val="32"/>
          <w:u w:val="none"/>
          <w:lang w:val="en-US" w:eastAsia="zh-CN" w:bidi="ar-SA"/>
        </w:rPr>
        <w:t>（三）生态文明建设全面加强，环境质量持续提升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仿宋_GB2312" w:cs="Times New Roman"/>
          <w:b/>
          <w:color w:val="auto"/>
          <w:sz w:val="32"/>
          <w:szCs w:val="32"/>
          <w:u w:val="none"/>
        </w:rPr>
        <w:t>生态环境建设持续发力。</w:t>
      </w:r>
      <w:r>
        <w:rPr>
          <w:rFonts w:hint="default" w:ascii="Times New Roman" w:hAnsi="Times New Roman" w:eastAsia="方正仿宋_GBK" w:cs="Times New Roman"/>
          <w:snapToGrid w:val="0"/>
          <w:color w:val="auto"/>
          <w:sz w:val="32"/>
          <w:szCs w:val="32"/>
          <w:u w:val="none"/>
          <w:lang w:val="en-US" w:eastAsia="zh-CN"/>
        </w:rPr>
        <w:t>深入落实黄河流域生态保护和高质量发展重大国家战略，坚决守好</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三红一绿一蓝</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五条线。编制《包头市东河区</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十四五</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生态保护修复规划（2021-2025年）》，开展破坏草原林地违规违法行为专项整治行动，全面推开林长制，完成森林植被恢复和重点区域绿化1.1万亩，3000亩京津风沙源治理项目、5000亩天然林保护封育工程高质量通过国家、自治区验收，森林覆盖率达到24.9%。实施城市双修工程，修建和改造绿地公园2个、小游园6个，实施绿化工程10余项，城区新增绿化面积39.7公顷，城区绿化覆盖率35.1%，道路绿化率达到97%。落实最严格水资源管理制度，压紧压实河湖长工作责任，深入推进</w:t>
      </w:r>
      <w:r>
        <w:rPr>
          <w:rFonts w:hint="eastAsia" w:ascii="Times New Roman" w:hAnsi="Times New Roman" w:eastAsia="方正仿宋_GBK" w:cs="Times New Roman"/>
          <w:snapToGrid w:val="0"/>
          <w:color w:val="auto"/>
          <w:sz w:val="32"/>
          <w:szCs w:val="32"/>
          <w:u w:val="none"/>
          <w:lang w:val="en-US" w:eastAsia="zh-CN"/>
        </w:rPr>
        <w:t>河湖库“</w:t>
      </w:r>
      <w:r>
        <w:rPr>
          <w:rFonts w:hint="default" w:ascii="Times New Roman" w:hAnsi="Times New Roman" w:eastAsia="方正仿宋_GBK" w:cs="Times New Roman"/>
          <w:snapToGrid w:val="0"/>
          <w:color w:val="auto"/>
          <w:sz w:val="32"/>
          <w:szCs w:val="32"/>
          <w:u w:val="none"/>
          <w:lang w:val="en-US" w:eastAsia="zh-CN"/>
        </w:rPr>
        <w:t>清四乱</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工作，顺利通过自治区水利厅县域节水型社会创建验收，完成全区27条河道</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2座湖泊</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1座水库的划界工作。实施河湖连通、北梁诸沟河道治理、转龙藏公园等水利工程，水清岸绿的城区水系景观体系初步形成。包头市南海湖水体治理与生态修复工程顺利实施。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仿宋_GB2312" w:cs="Times New Roman"/>
          <w:b/>
          <w:color w:val="auto"/>
          <w:sz w:val="32"/>
          <w:szCs w:val="32"/>
          <w:u w:val="none"/>
          <w:lang w:val="en-US" w:eastAsia="zh-CN"/>
        </w:rPr>
        <w:t>污染防治攻坚扎实开展。</w:t>
      </w:r>
      <w:r>
        <w:rPr>
          <w:rFonts w:hint="default" w:ascii="Times New Roman" w:hAnsi="Times New Roman" w:eastAsia="方正仿宋_GBK" w:cs="Times New Roman"/>
          <w:snapToGrid w:val="0"/>
          <w:color w:val="auto"/>
          <w:sz w:val="32"/>
          <w:szCs w:val="32"/>
          <w:u w:val="none"/>
          <w:lang w:val="en-US" w:eastAsia="zh-CN"/>
        </w:rPr>
        <w:t>全力打好蓝天、碧水、净土保卫战，环保督察和</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回头看</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反馈问题有效整改。印发《东河区2021年污染防治攻坚战行动方案》，巩固散煤治理、燃煤锅炉治理、</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散乱污</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治理成果，推动城乡清洁能源替代，强化扬尘、秸秆、垃圾焚烧管控、重污染天气应对，治理北梁腾空区约240万平方米裸露土地、61800平方米土路扬尘，</w:t>
      </w:r>
      <w:r>
        <w:rPr>
          <w:rFonts w:hint="default" w:ascii="Times New Roman" w:hAnsi="Times New Roman" w:eastAsia="方正仿宋_GBK" w:cs="Times New Roman"/>
          <w:color w:val="auto"/>
          <w:sz w:val="32"/>
          <w:szCs w:val="32"/>
          <w:u w:val="none"/>
        </w:rPr>
        <w:t>空气优良天数比例达</w:t>
      </w:r>
      <w:r>
        <w:rPr>
          <w:rFonts w:hint="default" w:ascii="Times New Roman" w:hAnsi="Times New Roman" w:eastAsia="方正仿宋_GBK" w:cs="Times New Roman"/>
          <w:color w:val="auto"/>
          <w:sz w:val="32"/>
          <w:szCs w:val="32"/>
          <w:u w:val="none"/>
          <w:lang w:val="en-US" w:eastAsia="zh-CN"/>
        </w:rPr>
        <w:t>82.2</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snapToGrid w:val="0"/>
          <w:color w:val="auto"/>
          <w:sz w:val="32"/>
          <w:szCs w:val="32"/>
          <w:u w:val="none"/>
          <w:lang w:val="en-US" w:eastAsia="zh-CN"/>
        </w:rPr>
        <w:t>。开展饮用水水源地规范化建设、</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万人千吨</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水源地专项整治，加强水源地监督管理。开展高风险企业、重点场地调查评估工作，定期开展土壤污染隐患排查，加强危险废物环境监管，组织9户企业接入工业固废物联网系统。</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cs="Times New Roman"/>
          <w:color w:val="auto"/>
          <w:u w:val="none"/>
          <w:lang w:val="en-US" w:eastAsia="zh-CN"/>
        </w:rPr>
      </w:pPr>
      <w:r>
        <w:rPr>
          <w:rFonts w:hint="eastAsia" w:ascii="Times New Roman" w:hAnsi="Times New Roman" w:eastAsia="方正仿宋_GBK" w:cs="Times New Roman"/>
          <w:b/>
          <w:bCs/>
          <w:snapToGrid w:val="0"/>
          <w:color w:val="auto"/>
          <w:sz w:val="32"/>
          <w:szCs w:val="32"/>
          <w:u w:val="none"/>
          <w:lang w:val="en-US" w:eastAsia="zh-CN"/>
        </w:rPr>
        <w:t>“</w:t>
      </w:r>
      <w:r>
        <w:rPr>
          <w:rFonts w:hint="default" w:ascii="Times New Roman" w:hAnsi="Times New Roman" w:eastAsia="方正仿宋_GBK" w:cs="Times New Roman"/>
          <w:b/>
          <w:bCs/>
          <w:snapToGrid w:val="0"/>
          <w:color w:val="auto"/>
          <w:sz w:val="32"/>
          <w:szCs w:val="32"/>
          <w:u w:val="none"/>
          <w:lang w:val="en-US" w:eastAsia="zh-CN"/>
        </w:rPr>
        <w:t>双碳</w:t>
      </w:r>
      <w:r>
        <w:rPr>
          <w:rFonts w:hint="eastAsia" w:ascii="Times New Roman" w:hAnsi="Times New Roman" w:eastAsia="方正仿宋_GBK" w:cs="Times New Roman"/>
          <w:b/>
          <w:bCs/>
          <w:snapToGrid w:val="0"/>
          <w:color w:val="auto"/>
          <w:sz w:val="32"/>
          <w:szCs w:val="32"/>
          <w:u w:val="none"/>
          <w:lang w:val="en-US" w:eastAsia="zh-CN"/>
        </w:rPr>
        <w:t>”“</w:t>
      </w:r>
      <w:r>
        <w:rPr>
          <w:rFonts w:hint="default" w:ascii="Times New Roman" w:hAnsi="Times New Roman" w:eastAsia="方正仿宋_GBK" w:cs="Times New Roman"/>
          <w:b/>
          <w:bCs/>
          <w:snapToGrid w:val="0"/>
          <w:color w:val="auto"/>
          <w:sz w:val="32"/>
          <w:szCs w:val="32"/>
          <w:u w:val="none"/>
          <w:lang w:val="en-US" w:eastAsia="zh-CN"/>
        </w:rPr>
        <w:t>双控</w:t>
      </w:r>
      <w:r>
        <w:rPr>
          <w:rFonts w:hint="eastAsia" w:ascii="Times New Roman" w:hAnsi="Times New Roman" w:eastAsia="方正仿宋_GBK" w:cs="Times New Roman"/>
          <w:b/>
          <w:bCs/>
          <w:snapToGrid w:val="0"/>
          <w:color w:val="auto"/>
          <w:sz w:val="32"/>
          <w:szCs w:val="32"/>
          <w:u w:val="none"/>
          <w:lang w:val="en-US" w:eastAsia="zh-CN"/>
        </w:rPr>
        <w:t>”“</w:t>
      </w:r>
      <w:r>
        <w:rPr>
          <w:rFonts w:hint="default" w:ascii="Times New Roman" w:hAnsi="Times New Roman" w:eastAsia="方正仿宋_GBK" w:cs="Times New Roman"/>
          <w:b/>
          <w:bCs/>
          <w:snapToGrid w:val="0"/>
          <w:color w:val="auto"/>
          <w:sz w:val="32"/>
          <w:szCs w:val="32"/>
          <w:u w:val="none"/>
          <w:lang w:val="en-US" w:eastAsia="zh-CN"/>
        </w:rPr>
        <w:t>两高</w:t>
      </w:r>
      <w:r>
        <w:rPr>
          <w:rFonts w:hint="eastAsia" w:ascii="Times New Roman" w:hAnsi="Times New Roman" w:eastAsia="方正仿宋_GBK" w:cs="Times New Roman"/>
          <w:b/>
          <w:bCs/>
          <w:snapToGrid w:val="0"/>
          <w:color w:val="auto"/>
          <w:sz w:val="32"/>
          <w:szCs w:val="32"/>
          <w:u w:val="none"/>
          <w:lang w:val="en-US" w:eastAsia="zh-CN"/>
        </w:rPr>
        <w:t>”</w:t>
      </w:r>
      <w:r>
        <w:rPr>
          <w:rFonts w:hint="default" w:ascii="Times New Roman" w:hAnsi="Times New Roman" w:eastAsia="方正仿宋_GBK" w:cs="Times New Roman"/>
          <w:b/>
          <w:bCs/>
          <w:snapToGrid w:val="0"/>
          <w:color w:val="auto"/>
          <w:sz w:val="32"/>
          <w:szCs w:val="32"/>
          <w:u w:val="none"/>
          <w:lang w:val="en-US" w:eastAsia="zh-CN"/>
        </w:rPr>
        <w:t>工作扎实推进。</w:t>
      </w:r>
      <w:r>
        <w:rPr>
          <w:rFonts w:hint="eastAsia" w:ascii="Times New Roman" w:hAnsi="Times New Roman" w:eastAsia="方正仿宋_GBK" w:cs="Times New Roman"/>
          <w:snapToGrid w:val="0"/>
          <w:color w:val="auto"/>
          <w:sz w:val="32"/>
          <w:szCs w:val="32"/>
          <w:u w:val="none"/>
          <w:lang w:val="en-US" w:eastAsia="zh-CN"/>
        </w:rPr>
        <w:t>印发</w:t>
      </w:r>
      <w:r>
        <w:rPr>
          <w:rFonts w:hint="default" w:ascii="Times New Roman" w:hAnsi="Times New Roman" w:eastAsia="方正仿宋_GBK" w:cs="Times New Roman"/>
          <w:snapToGrid w:val="0"/>
          <w:color w:val="auto"/>
          <w:sz w:val="32"/>
          <w:szCs w:val="32"/>
          <w:u w:val="none"/>
          <w:lang w:val="en-US" w:eastAsia="zh-CN"/>
        </w:rPr>
        <w:t>《东河区2021年能耗总量和强度</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双控</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工作实施方案》《东河区能耗双控应急预案》等，编制完成《东河区2021年能耗预算管理实施方案》。坚决落实包头市下达的能耗双控目标任务，组织召开重点耗能企业培训会暨能耗</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双控</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工作政府组成部门座谈会、能耗双控工作推进会等，实施有针对性节能降耗措施，全区能耗双控预警等级处于绿色区间。开展能源审计工作，对重点用能企业进行能效水平评估。开展</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两高</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违规项目清理整顿工作，建立项目台账。组织开展主题为</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节能降碳、绿色发展</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的节能宣传周活动</w:t>
      </w:r>
      <w:r>
        <w:rPr>
          <w:rFonts w:hint="default" w:ascii="Times New Roman" w:hAnsi="Times New Roman" w:eastAsia="方正仿宋_GBK" w:cs="Times New Roman"/>
          <w:snapToGrid w:val="0"/>
          <w:color w:val="auto"/>
          <w:spacing w:val="-9"/>
          <w:sz w:val="32"/>
          <w:szCs w:val="32"/>
          <w:u w:val="none"/>
          <w:lang w:val="en-US" w:eastAsia="zh-CN"/>
        </w:rPr>
        <w:t>，在</w:t>
      </w:r>
      <w:r>
        <w:rPr>
          <w:rFonts w:hint="eastAsia" w:ascii="Times New Roman" w:hAnsi="Times New Roman" w:eastAsia="方正仿宋_GBK" w:cs="Times New Roman"/>
          <w:snapToGrid w:val="0"/>
          <w:color w:val="auto"/>
          <w:spacing w:val="-9"/>
          <w:sz w:val="32"/>
          <w:szCs w:val="32"/>
          <w:u w:val="none"/>
          <w:lang w:val="en-US" w:eastAsia="zh-CN"/>
        </w:rPr>
        <w:t>“</w:t>
      </w:r>
      <w:r>
        <w:rPr>
          <w:rFonts w:hint="default" w:ascii="Times New Roman" w:hAnsi="Times New Roman" w:eastAsia="方正仿宋_GBK" w:cs="Times New Roman"/>
          <w:snapToGrid w:val="0"/>
          <w:color w:val="auto"/>
          <w:spacing w:val="-9"/>
          <w:sz w:val="32"/>
          <w:szCs w:val="32"/>
          <w:u w:val="none"/>
          <w:lang w:val="en-US" w:eastAsia="zh-CN"/>
        </w:rPr>
        <w:t>今日东河</w:t>
      </w:r>
      <w:r>
        <w:rPr>
          <w:rFonts w:hint="eastAsia" w:ascii="Times New Roman" w:hAnsi="Times New Roman" w:eastAsia="方正仿宋_GBK" w:cs="Times New Roman"/>
          <w:snapToGrid w:val="0"/>
          <w:color w:val="auto"/>
          <w:spacing w:val="-9"/>
          <w:sz w:val="32"/>
          <w:szCs w:val="32"/>
          <w:u w:val="none"/>
          <w:lang w:val="en-US" w:eastAsia="zh-CN"/>
        </w:rPr>
        <w:t>”</w:t>
      </w:r>
      <w:r>
        <w:rPr>
          <w:rFonts w:hint="default" w:ascii="Times New Roman" w:hAnsi="Times New Roman" w:eastAsia="方正仿宋_GBK" w:cs="Times New Roman"/>
          <w:snapToGrid w:val="0"/>
          <w:color w:val="auto"/>
          <w:spacing w:val="-9"/>
          <w:sz w:val="32"/>
          <w:szCs w:val="32"/>
          <w:u w:val="none"/>
          <w:lang w:val="en-US" w:eastAsia="zh-CN"/>
        </w:rPr>
        <w:t>开辟节能降耗专栏，向全社会发出节能降耗倡议</w:t>
      </w:r>
      <w:r>
        <w:rPr>
          <w:rFonts w:hint="default" w:ascii="Times New Roman" w:hAnsi="Times New Roman" w:eastAsia="方正仿宋_GBK" w:cs="Times New Roman"/>
          <w:snapToGrid w:val="0"/>
          <w:color w:val="auto"/>
          <w:sz w:val="32"/>
          <w:szCs w:val="32"/>
          <w:u w:val="none"/>
          <w:lang w:val="en-US" w:eastAsia="zh-CN"/>
        </w:rPr>
        <w:t>。维多利摩尔城、维多利新天地被自治区商务厅认定为2021年绿色商场创建单位。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楷体_GBK" w:cs="Times New Roman"/>
          <w:b/>
          <w:bCs/>
          <w:snapToGrid w:val="0"/>
          <w:color w:val="auto"/>
          <w:sz w:val="32"/>
          <w:szCs w:val="32"/>
          <w:u w:val="none"/>
          <w:lang w:val="en-US" w:eastAsia="zh-CN"/>
        </w:rPr>
        <w:t>（四）创新驱动迸发活力，内生动力不断释放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eastAsia="zh-CN"/>
        </w:rPr>
      </w:pPr>
      <w:r>
        <w:rPr>
          <w:rFonts w:hint="default" w:ascii="Times New Roman" w:hAnsi="Times New Roman" w:eastAsia="方正仿宋_GBK" w:cs="Times New Roman"/>
          <w:b/>
          <w:bCs/>
          <w:snapToGrid w:val="0"/>
          <w:color w:val="auto"/>
          <w:sz w:val="32"/>
          <w:szCs w:val="32"/>
          <w:u w:val="none"/>
          <w:lang w:val="en-US" w:eastAsia="zh-CN"/>
        </w:rPr>
        <w:t>打造一流营商环境取得新进展。政务环境建设方面</w:t>
      </w:r>
      <w:r>
        <w:rPr>
          <w:rFonts w:hint="default" w:ascii="Times New Roman" w:hAnsi="Times New Roman" w:eastAsia="方正仿宋_GBK" w:cs="Times New Roman"/>
          <w:snapToGrid w:val="0"/>
          <w:color w:val="auto"/>
          <w:sz w:val="32"/>
          <w:szCs w:val="32"/>
          <w:u w:val="none"/>
          <w:lang w:val="en-US" w:eastAsia="zh-CN"/>
        </w:rPr>
        <w:t>，</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放管服</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改革纵深推进，</w:t>
      </w:r>
      <w:r>
        <w:rPr>
          <w:rFonts w:hint="default" w:ascii="Times New Roman" w:hAnsi="Times New Roman" w:eastAsia="方正仿宋_GBK" w:cs="Times New Roman"/>
          <w:snapToGrid w:val="0"/>
          <w:color w:val="auto"/>
          <w:sz w:val="32"/>
          <w:szCs w:val="32"/>
          <w:u w:val="none"/>
          <w:lang w:val="en-US" w:eastAsia="zh-CN"/>
        </w:rPr>
        <w:t>深化</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互联网+政务服务</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val="en-US" w:eastAsia="zh-CN"/>
        </w:rPr>
        <w:t>启用新政务大厅</w:t>
      </w:r>
      <w:r>
        <w:rPr>
          <w:rFonts w:hint="default"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val="en-US" w:eastAsia="zh-CN"/>
        </w:rPr>
        <w:t>设立</w:t>
      </w:r>
      <w:r>
        <w:rPr>
          <w:rFonts w:hint="default" w:ascii="Times New Roman" w:hAnsi="Times New Roman" w:eastAsia="方正仿宋_GBK" w:cs="Times New Roman"/>
          <w:snapToGrid w:val="0"/>
          <w:color w:val="auto"/>
          <w:sz w:val="32"/>
          <w:szCs w:val="32"/>
          <w:u w:val="none"/>
          <w:lang w:eastAsia="zh-CN"/>
        </w:rPr>
        <w:t>全市首家7×24小时智能自助服务</w:t>
      </w:r>
      <w:r>
        <w:rPr>
          <w:rFonts w:hint="default" w:ascii="Times New Roman" w:hAnsi="Times New Roman" w:eastAsia="方正仿宋_GBK" w:cs="Times New Roman"/>
          <w:snapToGrid w:val="0"/>
          <w:color w:val="auto"/>
          <w:sz w:val="32"/>
          <w:szCs w:val="32"/>
          <w:u w:val="none"/>
          <w:lang w:val="en-US" w:eastAsia="zh-CN"/>
        </w:rPr>
        <w:t>区，</w:t>
      </w:r>
      <w:r>
        <w:rPr>
          <w:rFonts w:hint="default" w:ascii="Times New Roman" w:hAnsi="Times New Roman" w:eastAsia="方正仿宋_GBK" w:cs="Times New Roman"/>
          <w:snapToGrid w:val="0"/>
          <w:color w:val="auto"/>
          <w:sz w:val="32"/>
          <w:szCs w:val="32"/>
          <w:u w:val="none"/>
          <w:lang w:eastAsia="zh-CN"/>
        </w:rPr>
        <w:t>建立代</w:t>
      </w:r>
      <w:r>
        <w:rPr>
          <w:rFonts w:hint="default" w:ascii="Times New Roman" w:hAnsi="Times New Roman" w:eastAsia="方正仿宋_GBK" w:cs="Times New Roman"/>
          <w:snapToGrid w:val="0"/>
          <w:color w:val="auto"/>
          <w:sz w:val="32"/>
          <w:szCs w:val="32"/>
          <w:u w:val="none"/>
          <w:lang w:val="en-US" w:eastAsia="zh-CN"/>
        </w:rPr>
        <w:t>办帮办机制，推行</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5+2</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无休政务服务。打响</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蒙速办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品牌，设置</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一次办、帮您办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专区。开展政务服务事项</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六减一优</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工作，梳理完成首批65项政务服务事项，精简申请材料25%，平均压缩审批时限84%，减少跑动次数114次，压缩环节49%。</w:t>
      </w:r>
      <w:r>
        <w:rPr>
          <w:rFonts w:hint="default" w:ascii="Times New Roman" w:hAnsi="Times New Roman" w:eastAsia="方正仿宋_GBK" w:cs="Times New Roman"/>
          <w:color w:val="auto"/>
          <w:sz w:val="32"/>
          <w:szCs w:val="32"/>
          <w:u w:val="none"/>
        </w:rPr>
        <w:t>深化商事制度改革，</w:t>
      </w:r>
      <w:r>
        <w:rPr>
          <w:rFonts w:hint="default" w:ascii="Times New Roman" w:hAnsi="Times New Roman" w:eastAsia="方正仿宋_GBK" w:cs="Times New Roman"/>
          <w:snapToGrid w:val="0"/>
          <w:color w:val="auto"/>
          <w:sz w:val="32"/>
          <w:szCs w:val="32"/>
          <w:u w:val="none"/>
          <w:lang w:eastAsia="zh-CN"/>
        </w:rPr>
        <w:t>提升开办企业便利度，</w:t>
      </w:r>
      <w:r>
        <w:rPr>
          <w:rFonts w:hint="default" w:ascii="Times New Roman" w:hAnsi="Times New Roman" w:eastAsia="方正仿宋_GBK" w:cs="Times New Roman"/>
          <w:snapToGrid w:val="0"/>
          <w:color w:val="auto"/>
          <w:sz w:val="32"/>
          <w:szCs w:val="32"/>
          <w:u w:val="none"/>
          <w:lang w:val="en-US" w:eastAsia="zh-CN"/>
        </w:rPr>
        <w:t>实现</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一次办</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一窗办</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一网通办</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，全年新增市场主体</w:t>
      </w:r>
      <w:r>
        <w:rPr>
          <w:rFonts w:hint="default" w:ascii="Times New Roman" w:hAnsi="Times New Roman" w:eastAsia="方正仿宋_GBK" w:cs="Times New Roman"/>
          <w:snapToGrid w:val="0"/>
          <w:color w:val="auto"/>
          <w:sz w:val="32"/>
          <w:szCs w:val="32"/>
          <w:u w:val="none"/>
          <w:lang w:val="en-US" w:eastAsia="zh"/>
        </w:rPr>
        <w:t>5941</w:t>
      </w:r>
      <w:r>
        <w:rPr>
          <w:rFonts w:hint="default" w:ascii="Times New Roman" w:hAnsi="Times New Roman" w:eastAsia="方正仿宋_GBK" w:cs="Times New Roman"/>
          <w:snapToGrid w:val="0"/>
          <w:color w:val="auto"/>
          <w:sz w:val="32"/>
          <w:szCs w:val="32"/>
          <w:u w:val="none"/>
          <w:lang w:eastAsia="zh-CN"/>
        </w:rPr>
        <w:t>户，增长</w:t>
      </w:r>
      <w:r>
        <w:rPr>
          <w:rFonts w:hint="default" w:ascii="Times New Roman" w:hAnsi="Times New Roman" w:eastAsia="方正仿宋_GBK" w:cs="Times New Roman"/>
          <w:snapToGrid w:val="0"/>
          <w:color w:val="auto"/>
          <w:sz w:val="32"/>
          <w:szCs w:val="32"/>
          <w:u w:val="none"/>
          <w:lang w:val="en-US" w:eastAsia="zh"/>
        </w:rPr>
        <w:t>33.9</w:t>
      </w:r>
      <w:r>
        <w:rPr>
          <w:rFonts w:hint="default" w:ascii="Times New Roman" w:hAnsi="Times New Roman" w:eastAsia="方正仿宋_GBK" w:cs="Times New Roman"/>
          <w:snapToGrid w:val="0"/>
          <w:color w:val="auto"/>
          <w:sz w:val="32"/>
          <w:szCs w:val="32"/>
          <w:u w:val="none"/>
          <w:lang w:eastAsia="zh-CN"/>
        </w:rPr>
        <w:t>%。扎实开展</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双随机、一公开</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监管工作。</w:t>
      </w:r>
      <w:r>
        <w:rPr>
          <w:rFonts w:hint="default" w:ascii="Times New Roman" w:hAnsi="Times New Roman" w:eastAsia="方正仿宋_GBK" w:cs="Times New Roman"/>
          <w:b/>
          <w:bCs/>
          <w:snapToGrid w:val="0"/>
          <w:color w:val="auto"/>
          <w:sz w:val="32"/>
          <w:szCs w:val="32"/>
          <w:u w:val="none"/>
          <w:lang w:eastAsia="zh-CN"/>
        </w:rPr>
        <w:t>法治环境建设方面。</w:t>
      </w:r>
      <w:r>
        <w:rPr>
          <w:rFonts w:hint="default" w:ascii="Times New Roman" w:hAnsi="Times New Roman" w:eastAsia="方正仿宋_GBK" w:cs="Times New Roman"/>
          <w:snapToGrid w:val="0"/>
          <w:color w:val="auto"/>
          <w:sz w:val="32"/>
          <w:szCs w:val="32"/>
          <w:u w:val="none"/>
          <w:lang w:eastAsia="zh-CN"/>
        </w:rPr>
        <w:t>坚持以案促改和建章立制相结合，</w:t>
      </w:r>
      <w:r>
        <w:rPr>
          <w:rFonts w:hint="eastAsia" w:ascii="Times New Roman" w:hAnsi="Times New Roman" w:eastAsia="方正仿宋_GBK" w:cs="Times New Roman"/>
          <w:snapToGrid w:val="0"/>
          <w:color w:val="auto"/>
          <w:sz w:val="32"/>
          <w:szCs w:val="32"/>
          <w:u w:val="none"/>
          <w:lang w:val="en-US" w:eastAsia="zh-CN"/>
        </w:rPr>
        <w:t>制定</w:t>
      </w:r>
      <w:r>
        <w:rPr>
          <w:rFonts w:hint="default" w:ascii="Times New Roman" w:hAnsi="Times New Roman" w:eastAsia="方正仿宋_GBK" w:cs="Times New Roman"/>
          <w:snapToGrid w:val="0"/>
          <w:color w:val="auto"/>
          <w:sz w:val="32"/>
          <w:szCs w:val="32"/>
          <w:u w:val="none"/>
          <w:lang w:eastAsia="zh-CN"/>
        </w:rPr>
        <w:t>《执法委员会工作机制》《盯警盯案工作规范》等</w:t>
      </w:r>
      <w:r>
        <w:rPr>
          <w:rFonts w:hint="eastAsia" w:ascii="Times New Roman" w:hAnsi="Times New Roman" w:eastAsia="方正仿宋_GBK" w:cs="Times New Roman"/>
          <w:snapToGrid w:val="0"/>
          <w:color w:val="auto"/>
          <w:sz w:val="32"/>
          <w:szCs w:val="32"/>
          <w:u w:val="none"/>
          <w:lang w:val="en-US" w:eastAsia="zh-CN"/>
        </w:rPr>
        <w:t>文件</w:t>
      </w:r>
      <w:r>
        <w:rPr>
          <w:rFonts w:hint="default" w:ascii="Times New Roman" w:hAnsi="Times New Roman" w:eastAsia="方正仿宋_GBK" w:cs="Times New Roman"/>
          <w:snapToGrid w:val="0"/>
          <w:color w:val="auto"/>
          <w:sz w:val="32"/>
          <w:szCs w:val="32"/>
          <w:u w:val="none"/>
          <w:lang w:eastAsia="zh-CN"/>
        </w:rPr>
        <w:t>，对涉企重大案件，实行专案专办，挂牌督办，限时结案，侦破涉企案件61起，化解涉企积案9起。为各经济主体开辟</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绿色通道</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，实现</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最多跑一次</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即完成登记立案；全面推行网上立案、跨域立案、自助立案，进一步提高诉讼服务能力，最大程度减少企业诉讼成本。加强对经济犯罪侦查、审判和执行活动的监督，主动走访企业，受理不服法院生效判决、执行活动检察监督案件40件，发出检察建议40份，办理典型案件取得了良好的社会效果。</w:t>
      </w:r>
      <w:r>
        <w:rPr>
          <w:rFonts w:hint="default" w:ascii="Times New Roman" w:hAnsi="Times New Roman" w:eastAsia="方正仿宋_GBK" w:cs="Times New Roman"/>
          <w:b/>
          <w:bCs/>
          <w:snapToGrid w:val="0"/>
          <w:color w:val="auto"/>
          <w:sz w:val="32"/>
          <w:szCs w:val="32"/>
          <w:u w:val="none"/>
          <w:lang w:eastAsia="zh-CN"/>
        </w:rPr>
        <w:t>产业环境建设方面。</w:t>
      </w:r>
      <w:r>
        <w:rPr>
          <w:rFonts w:hint="default" w:ascii="Times New Roman" w:hAnsi="Times New Roman" w:eastAsia="方正仿宋_GBK" w:cs="Times New Roman"/>
          <w:snapToGrid w:val="0"/>
          <w:color w:val="auto"/>
          <w:sz w:val="32"/>
          <w:szCs w:val="32"/>
          <w:u w:val="none"/>
          <w:lang w:eastAsia="zh-CN"/>
        </w:rPr>
        <w:t>强化要素保障，累计为包铝、华云等企业落实贷款4.</w:t>
      </w:r>
      <w:r>
        <w:rPr>
          <w:rFonts w:hint="default" w:ascii="Times New Roman" w:hAnsi="Times New Roman" w:eastAsia="方正仿宋_GBK" w:cs="Times New Roman"/>
          <w:snapToGrid w:val="0"/>
          <w:color w:val="auto"/>
          <w:sz w:val="32"/>
          <w:szCs w:val="32"/>
          <w:u w:val="none"/>
          <w:lang w:val="en-US" w:eastAsia="zh-CN"/>
        </w:rPr>
        <w:t>4</w:t>
      </w:r>
      <w:r>
        <w:rPr>
          <w:rFonts w:hint="default" w:ascii="Times New Roman" w:hAnsi="Times New Roman" w:eastAsia="方正仿宋_GBK" w:cs="Times New Roman"/>
          <w:snapToGrid w:val="0"/>
          <w:color w:val="auto"/>
          <w:sz w:val="32"/>
          <w:szCs w:val="32"/>
          <w:u w:val="none"/>
          <w:lang w:eastAsia="zh-CN"/>
        </w:rPr>
        <w:t>亿元，推动铝业园区、区农牧林草事业发展中心、山川圣阳等16</w:t>
      </w:r>
      <w:r>
        <w:rPr>
          <w:rFonts w:hint="eastAsia" w:ascii="Times New Roman" w:hAnsi="Times New Roman" w:eastAsia="方正仿宋_GBK" w:cs="Times New Roman"/>
          <w:snapToGrid w:val="0"/>
          <w:color w:val="auto"/>
          <w:sz w:val="32"/>
          <w:szCs w:val="32"/>
          <w:u w:val="none"/>
          <w:lang w:val="en-US" w:eastAsia="zh-CN"/>
        </w:rPr>
        <w:t>个</w:t>
      </w:r>
      <w:r>
        <w:rPr>
          <w:rFonts w:hint="default" w:ascii="Times New Roman" w:hAnsi="Times New Roman" w:eastAsia="方正仿宋_GBK" w:cs="Times New Roman"/>
          <w:snapToGrid w:val="0"/>
          <w:color w:val="auto"/>
          <w:sz w:val="32"/>
          <w:szCs w:val="32"/>
          <w:u w:val="none"/>
          <w:lang w:eastAsia="zh-CN"/>
        </w:rPr>
        <w:t>部门、企业</w:t>
      </w:r>
      <w:r>
        <w:rPr>
          <w:rFonts w:hint="default" w:ascii="Times New Roman" w:hAnsi="Times New Roman" w:eastAsia="方正仿宋_GBK" w:cs="Times New Roman"/>
          <w:snapToGrid w:val="0"/>
          <w:color w:val="auto"/>
          <w:sz w:val="32"/>
          <w:szCs w:val="32"/>
          <w:u w:val="none"/>
          <w:lang w:val="en-US" w:eastAsia="zh-CN"/>
        </w:rPr>
        <w:t>申报获得</w:t>
      </w:r>
      <w:r>
        <w:rPr>
          <w:rFonts w:hint="default" w:ascii="Times New Roman" w:hAnsi="Times New Roman" w:eastAsia="方正仿宋_GBK" w:cs="Times New Roman"/>
          <w:snapToGrid w:val="0"/>
          <w:color w:val="auto"/>
          <w:sz w:val="32"/>
          <w:szCs w:val="32"/>
          <w:u w:val="none"/>
          <w:lang w:eastAsia="zh-CN"/>
        </w:rPr>
        <w:t>自治区重点产业（园区）发展、科技创新、科技成果转化等专项资金3</w:t>
      </w:r>
      <w:r>
        <w:rPr>
          <w:rFonts w:hint="default" w:ascii="Times New Roman" w:hAnsi="Times New Roman" w:eastAsia="方正仿宋_GBK" w:cs="Times New Roman"/>
          <w:snapToGrid w:val="0"/>
          <w:color w:val="auto"/>
          <w:sz w:val="32"/>
          <w:szCs w:val="32"/>
          <w:u w:val="none"/>
          <w:lang w:val="en-US" w:eastAsia="zh-CN"/>
        </w:rPr>
        <w:t>324</w:t>
      </w:r>
      <w:r>
        <w:rPr>
          <w:rFonts w:hint="default" w:ascii="Times New Roman" w:hAnsi="Times New Roman" w:eastAsia="方正仿宋_GBK" w:cs="Times New Roman"/>
          <w:snapToGrid w:val="0"/>
          <w:color w:val="auto"/>
          <w:sz w:val="32"/>
          <w:szCs w:val="32"/>
          <w:u w:val="none"/>
          <w:lang w:eastAsia="zh-CN"/>
        </w:rPr>
        <w:t>.6万元，帮助</w:t>
      </w:r>
      <w:r>
        <w:rPr>
          <w:rFonts w:hint="default" w:ascii="Times New Roman" w:hAnsi="Times New Roman" w:eastAsia="方正仿宋_GBK" w:cs="Times New Roman"/>
          <w:snapToGrid w:val="0"/>
          <w:color w:val="auto"/>
          <w:sz w:val="32"/>
          <w:szCs w:val="32"/>
          <w:u w:val="none"/>
          <w:lang w:val="en-US" w:eastAsia="zh-CN"/>
        </w:rPr>
        <w:t>包铝、盛泰等</w:t>
      </w:r>
      <w:r>
        <w:rPr>
          <w:rFonts w:hint="default" w:ascii="Times New Roman" w:hAnsi="Times New Roman" w:eastAsia="方正仿宋_GBK" w:cs="Times New Roman"/>
          <w:snapToGrid w:val="0"/>
          <w:color w:val="auto"/>
          <w:sz w:val="32"/>
          <w:szCs w:val="32"/>
          <w:u w:val="none"/>
          <w:lang w:eastAsia="zh-CN"/>
        </w:rPr>
        <w:t>13户工业企业进入自治区电力多边交易平台，累计节约用电成本</w:t>
      </w:r>
      <w:r>
        <w:rPr>
          <w:rFonts w:hint="default" w:ascii="Times New Roman" w:hAnsi="Times New Roman" w:eastAsia="方正仿宋_GBK" w:cs="Times New Roman"/>
          <w:snapToGrid w:val="0"/>
          <w:color w:val="auto"/>
          <w:sz w:val="32"/>
          <w:szCs w:val="32"/>
          <w:u w:val="none"/>
          <w:lang w:val="en-US" w:eastAsia="zh-CN"/>
        </w:rPr>
        <w:t>约2.7</w:t>
      </w:r>
      <w:r>
        <w:rPr>
          <w:rFonts w:hint="default" w:ascii="Times New Roman" w:hAnsi="Times New Roman" w:eastAsia="方正仿宋_GBK" w:cs="Times New Roman"/>
          <w:snapToGrid w:val="0"/>
          <w:color w:val="auto"/>
          <w:sz w:val="32"/>
          <w:szCs w:val="32"/>
          <w:u w:val="none"/>
          <w:lang w:eastAsia="zh-CN"/>
        </w:rPr>
        <w:t>亿元。不断提升金融扶持力度，组织辖区内50余家中小微企业与中国银行、金谷村镇银行等金融机构开展银企对接，提供</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银税贷</w:t>
      </w:r>
      <w:r>
        <w:rPr>
          <w:rFonts w:hint="eastAsia" w:ascii="Times New Roman" w:hAnsi="Times New Roman" w:eastAsia="方正仿宋_GBK" w:cs="Times New Roman"/>
          <w:snapToGrid w:val="0"/>
          <w:color w:val="auto"/>
          <w:sz w:val="32"/>
          <w:szCs w:val="32"/>
          <w:u w:val="none"/>
          <w:lang w:eastAsia="zh-CN"/>
        </w:rPr>
        <w:t>”</w:t>
      </w:r>
      <w:r>
        <w:rPr>
          <w:rFonts w:hint="default" w:ascii="Times New Roman" w:hAnsi="Times New Roman" w:eastAsia="方正仿宋_GBK" w:cs="Times New Roman"/>
          <w:snapToGrid w:val="0"/>
          <w:color w:val="auto"/>
          <w:sz w:val="32"/>
          <w:szCs w:val="32"/>
          <w:u w:val="none"/>
          <w:lang w:eastAsia="zh-CN"/>
        </w:rPr>
        <w:t>等金融服务，进一步解决中小微企业融资难问题。提升人才保障能力，推动部门、企业与内蒙古科技大学签订人才培养合作协议22项。包头中药、一禾稀土、南海湿地管理处等10家企事业单位与内蒙古科技大学、内蒙古农业大学等13所高校和科研机构形成产学研合作关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重点领域改革扎实推进。</w:t>
      </w:r>
      <w:r>
        <w:rPr>
          <w:rFonts w:hint="default" w:ascii="Times New Roman" w:hAnsi="Times New Roman" w:eastAsia="方正仿宋_GBK" w:cs="Times New Roman"/>
          <w:snapToGrid w:val="0"/>
          <w:color w:val="auto"/>
          <w:sz w:val="32"/>
          <w:szCs w:val="32"/>
          <w:u w:val="none"/>
          <w:lang w:val="en-US" w:eastAsia="zh-CN"/>
        </w:rPr>
        <w:t>精准落实减税降费、保供稳价等援企稳岗惠企政策，为企业减免税费2.7亿元。扎实开展军民融合，包铝、正北食品、鹿王羊绒等9家企业被包头市军民融合委员会纳入我市军民融合企业名单</w:t>
      </w:r>
      <w:r>
        <w:rPr>
          <w:rFonts w:hint="eastAsia" w:ascii="Times New Roman" w:hAnsi="Times New Roman" w:eastAsia="方正仿宋_GBK" w:cs="Times New Roman"/>
          <w:snapToGrid w:val="0"/>
          <w:color w:val="auto"/>
          <w:sz w:val="32"/>
          <w:szCs w:val="32"/>
          <w:u w:val="none"/>
          <w:lang w:val="en-US" w:eastAsia="zh-CN"/>
        </w:rPr>
        <w:t>；五二</w:t>
      </w:r>
      <w:r>
        <w:rPr>
          <w:rFonts w:hint="default" w:ascii="Times New Roman" w:hAnsi="Times New Roman" w:eastAsia="方正仿宋_GBK" w:cs="Times New Roman"/>
          <w:snapToGrid w:val="0"/>
          <w:color w:val="auto"/>
          <w:sz w:val="32"/>
          <w:szCs w:val="32"/>
          <w:u w:val="none"/>
          <w:lang w:val="en-US" w:eastAsia="zh-CN"/>
        </w:rPr>
        <w:t>研究所每季度为包铝铝合金相关产品提供检验检测服务</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一机厂向包铝采购军用车辆铝合金车轮材料。创新驱动战略加快实施，鹿王羊绒成为自治区唯一获得国家级第三批服务型制造示范企业，驻区工业企业</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上云用数赋智</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覆盖率达</w:t>
      </w:r>
      <w:r>
        <w:rPr>
          <w:rFonts w:hint="default" w:ascii="Times New Roman" w:hAnsi="Times New Roman" w:eastAsia="方正仿宋_GBK" w:cs="Times New Roman"/>
          <w:snapToGrid w:val="0"/>
          <w:color w:val="auto"/>
          <w:sz w:val="32"/>
          <w:szCs w:val="32"/>
          <w:u w:val="none"/>
          <w:lang w:val="en-US" w:eastAsia="zh"/>
        </w:rPr>
        <w:t>2</w:t>
      </w:r>
      <w:r>
        <w:rPr>
          <w:rFonts w:hint="default" w:ascii="Times New Roman" w:hAnsi="Times New Roman" w:eastAsia="方正仿宋_GBK" w:cs="Times New Roman"/>
          <w:snapToGrid w:val="0"/>
          <w:color w:val="auto"/>
          <w:sz w:val="32"/>
          <w:szCs w:val="32"/>
          <w:u w:val="none"/>
          <w:lang w:val="en-US" w:eastAsia="zh-CN"/>
        </w:rPr>
        <w:t>3.5%，科技创新研发经费同比增加17.7%，建成包铝</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5G+互联网</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基站</w:t>
      </w:r>
      <w:r>
        <w:rPr>
          <w:rFonts w:hint="eastAsia" w:ascii="Times New Roman" w:hAnsi="Times New Roman" w:eastAsia="方正仿宋_GBK" w:cs="Times New Roman"/>
          <w:snapToGrid w:val="0"/>
          <w:color w:val="auto"/>
          <w:sz w:val="32"/>
          <w:szCs w:val="32"/>
          <w:u w:val="none"/>
          <w:lang w:val="en-US" w:eastAsia="zh-CN"/>
        </w:rPr>
        <w:t>9</w:t>
      </w:r>
      <w:r>
        <w:rPr>
          <w:rFonts w:hint="default" w:ascii="Times New Roman" w:hAnsi="Times New Roman" w:eastAsia="方正仿宋_GBK" w:cs="Times New Roman"/>
          <w:snapToGrid w:val="0"/>
          <w:color w:val="auto"/>
          <w:sz w:val="32"/>
          <w:szCs w:val="32"/>
          <w:u w:val="none"/>
          <w:lang w:val="en-US" w:eastAsia="zh-CN"/>
        </w:rPr>
        <w:t>个</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加速培育科技创新型企业，全区共获批高新技术企业1家、自治区级绿色工厂2个、</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专精特新</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示范中小企业2个、细分领域专业化</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小巨人</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企业1个、科技型中小企业3个、包头市级</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专精特新</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中小企业3个、服务型制造业企业2个。</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（五）城乡区域协同发展，努力创造高品质生活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加强规划引领建设。</w:t>
      </w:r>
      <w:r>
        <w:rPr>
          <w:rFonts w:hint="default" w:ascii="Times New Roman" w:hAnsi="Times New Roman" w:eastAsia="方正仿宋_GBK" w:cs="Times New Roman"/>
          <w:snapToGrid w:val="0"/>
          <w:color w:val="auto"/>
          <w:sz w:val="32"/>
          <w:szCs w:val="32"/>
          <w:u w:val="none"/>
          <w:lang w:val="en-US" w:eastAsia="zh-CN"/>
        </w:rPr>
        <w:t>围绕</w:t>
      </w:r>
      <w:r>
        <w:rPr>
          <w:rFonts w:hint="eastAsia" w:ascii="Times New Roman" w:hAnsi="Times New Roman" w:eastAsia="方正仿宋_GBK" w:cs="Times New Roman"/>
          <w:snapToGrid w:val="0"/>
          <w:color w:val="auto"/>
          <w:sz w:val="32"/>
          <w:szCs w:val="32"/>
          <w:u w:val="none"/>
          <w:lang w:val="en-US" w:eastAsia="zh-CN"/>
        </w:rPr>
        <w:t>包头市“</w:t>
      </w:r>
      <w:r>
        <w:rPr>
          <w:rFonts w:hint="default" w:ascii="Times New Roman" w:hAnsi="Times New Roman" w:eastAsia="方正仿宋_GBK" w:cs="Times New Roman"/>
          <w:snapToGrid w:val="0"/>
          <w:color w:val="auto"/>
          <w:sz w:val="32"/>
          <w:szCs w:val="32"/>
          <w:u w:val="none"/>
          <w:lang w:val="en-US" w:eastAsia="zh-CN"/>
        </w:rPr>
        <w:t>四基地两中心一高地一体系</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战略定位，高质量完成了《包头市东河区国民经济和社会发展第十四个五年规划和二〇三五年远景目标纲要》《东河区承接包头市发展定位思路》《东河区建设区域性服务业中心城区发展思路》等报告。</w:t>
      </w:r>
    </w:p>
    <w:p>
      <w:pPr>
        <w:pStyle w:val="3"/>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color w:val="auto"/>
          <w:sz w:val="32"/>
          <w:szCs w:val="32"/>
          <w:u w:val="none"/>
          <w:lang w:val="en-US" w:eastAsia="zh-CN"/>
        </w:rPr>
        <w:t>城市建设管理水平不断提升。</w:t>
      </w:r>
      <w:r>
        <w:rPr>
          <w:rFonts w:hint="default" w:ascii="Times New Roman" w:hAnsi="Times New Roman" w:eastAsia="方正仿宋_GBK" w:cs="Times New Roman"/>
          <w:snapToGrid w:val="0"/>
          <w:color w:val="auto"/>
          <w:sz w:val="32"/>
          <w:szCs w:val="32"/>
          <w:u w:val="none"/>
          <w:lang w:val="en-US" w:eastAsia="zh-CN"/>
        </w:rPr>
        <w:t>加快完善城市基础设施，工业路、环城路等7条道路建成通车，南门外大街包百过街天桥投入使用，完成王大汉村雨污水管线改造泵站建设工程，中心城区交通便利度极大提升。推动公园绿地改造升级，包八中西侧、北梁二路、北梁新区西二区口袋公园建成开放，新增3处街角绿地，完成4处景观提升改造和18条道路及5处公园绿地补植补种。不断提升居民生活幸福感，完成40万平方米、25个老旧小区综合整治工程，城市品质提升西五街街区改造项目完成总工程量的70%，完成35万平方米供热二次网改造，通过热电联产集中供热、</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煤改气</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煤改电</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等方式完成2.6万户、221万平方米清洁取暖任务。积极推动北梁腾空区建设，公安业务技术用房、东河看守所、区人民法院投入使用，景晟学府、水泊东岸、绿地西斯莱等9个商住项目加快推进，副食品厂路、北梁七路、包伊路、兴航路改造等道路工程进展顺利。包头市恢复全国文明城市资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pacing w:val="-9"/>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乡村振兴战略深入实施。</w:t>
      </w:r>
      <w:r>
        <w:rPr>
          <w:rFonts w:hint="default" w:ascii="Times New Roman" w:hAnsi="Times New Roman" w:eastAsia="方正仿宋_GBK" w:cs="Times New Roman"/>
          <w:snapToGrid w:val="0"/>
          <w:color w:val="auto"/>
          <w:sz w:val="32"/>
          <w:szCs w:val="32"/>
          <w:u w:val="none"/>
          <w:lang w:val="en-US" w:eastAsia="zh-CN"/>
        </w:rPr>
        <w:t>建档立卡贫困户11户26人全部稳定脱贫，脱贫攻坚成效考核成绩位于全市前列，区扶贫办荣获自治区</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脱贫攻坚先进集体</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称号。持续巩固脱贫攻坚成果，制定《东河区巩固拓展脱贫攻坚成果同乡村振兴有效衔接实施方案》。加快推进农村环境综合整治，结合卫生户厕改造完成4个村生活污水集中治理工程，覆盖农村户厕3400余户。高标准完成2013年以来各级财政支持改造的农村户厕问题摸排整改任务，排查发现的38户问题户厕已全部整改到位。深入开展</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三清一改</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战役，农村人居环境持续改善。实施农村公路联网路建设、自然村通硬化</w:t>
      </w:r>
      <w:r>
        <w:rPr>
          <w:rFonts w:hint="default" w:ascii="Times New Roman" w:hAnsi="Times New Roman" w:eastAsia="方正仿宋_GBK" w:cs="Times New Roman"/>
          <w:snapToGrid w:val="0"/>
          <w:color w:val="auto"/>
          <w:spacing w:val="-9"/>
          <w:sz w:val="32"/>
          <w:szCs w:val="32"/>
          <w:u w:val="none"/>
          <w:lang w:val="en-US" w:eastAsia="zh-CN"/>
        </w:rPr>
        <w:t>路工程，对全区21座桥梁安装84块桥梁信息公示牌和限载标志牌。</w:t>
      </w:r>
      <w:r>
        <w:rPr>
          <w:rFonts w:hint="default" w:ascii="Times New Roman" w:hAnsi="Times New Roman" w:eastAsia="方正仿宋_GBK" w:cs="Times New Roman"/>
          <w:snapToGrid w:val="0"/>
          <w:color w:val="auto"/>
          <w:sz w:val="32"/>
          <w:szCs w:val="32"/>
          <w:u w:val="none"/>
          <w:lang w:val="en-US" w:eastAsia="zh-CN"/>
        </w:rPr>
        <w:t>《东河区区域村庄布局规划》获得批复。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楷体_GBK" w:cs="Times New Roman"/>
          <w:b/>
          <w:bCs/>
          <w:snapToGrid w:val="0"/>
          <w:color w:val="auto"/>
          <w:sz w:val="32"/>
          <w:szCs w:val="32"/>
          <w:u w:val="none"/>
          <w:lang w:val="en-US" w:eastAsia="zh-CN"/>
        </w:rPr>
        <w:t>（六）社会事业不断加强，人民生活持续改善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就业创业纵深推进。</w:t>
      </w:r>
      <w:r>
        <w:rPr>
          <w:rFonts w:hint="default" w:ascii="Times New Roman" w:hAnsi="Times New Roman" w:eastAsia="方正仿宋_GBK" w:cs="Times New Roman"/>
          <w:b w:val="0"/>
          <w:bCs w:val="0"/>
          <w:color w:val="auto"/>
          <w:sz w:val="32"/>
          <w:szCs w:val="32"/>
          <w:u w:val="none"/>
          <w:lang w:val="en-US" w:eastAsia="zh-CN"/>
        </w:rPr>
        <w:t>实施企业用工保障服务专项行动，搭建线上线下人岗供需平台，举办</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春风行动</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就业援助月</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等各类招聘活动76场，提供岗位8322个，达成就业意向870人。全年城镇新增就业10910人，城镇失业人员再就业6415人，就业困难人员再就业2615人，农牧民转移就业人数14112人，城镇登记失业率控制在3.9%以内。加大援企稳岗力度，为216家企业、14920名职工返还失业保险稳岗资金298万元，23家企业享受</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以工代训</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补贴资金1305万元、惠及职工2.2万人次。搭建职业技能人才培养平台，推进企业新型学徒制，培训318人。开展政府补贴性技能培训8837人，城镇就业培训2964人，创业培训1160人。创业带动就业倍增效应凸显，新增创业园孵化基地2家，为259户个体创业者和小微企业发放创贷资金9122万元。加大困难群体就业帮扶，认定就业困难人员2665人，发放灵活就业困难人员社保补贴7000万元，通过公益性岗位托底安置2人，</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零就业</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家庭保持动态清零。</w:t>
      </w:r>
    </w:p>
    <w:p>
      <w:pPr>
        <w:pStyle w:val="3"/>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社会保障体系逐步完善。</w:t>
      </w:r>
      <w:r>
        <w:rPr>
          <w:rFonts w:hint="default" w:ascii="Times New Roman" w:hAnsi="Times New Roman" w:eastAsia="方正仿宋_GBK" w:cs="Times New Roman"/>
          <w:snapToGrid w:val="0"/>
          <w:color w:val="auto"/>
          <w:sz w:val="32"/>
          <w:szCs w:val="32"/>
          <w:u w:val="none"/>
          <w:lang w:val="en-US" w:eastAsia="zh-CN"/>
        </w:rPr>
        <w:t>贯彻落实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全覆盖、保基本、多层次、可持续</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各项举措，坚决兜牢民生保障底线。深入实施全民参保计划，全区城镇职工基本养老保险、工伤保险、失业保险参保分别为7.9万人、1.8万人、1.5万人，全民参保和企业养老保险扩面新增参保5693人。积极推动企业养老保险纳入全国统筹，全年企业退休人员养老保险待遇支出10.5亿元，机关事业退休人员养老保险待遇支出4.5亿元，城乡居民养老保险待遇支出4100万元。为我区城乡居民特困人员3227人政府代缴城乡居民养老保险费52万元。建设工程按项目参加工伤保险100%全覆盖。实施劳动关系</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和谐同行</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能力提升三年行动计划，开展根治欠薪制度全覆盖专项行动，帮助4918人追讨工资6136.7万元。大救助体系建设取得新成效，城市居民最低生活保障标准每人每月提高45元，全年发放各类救助资金2635万元。发放临时救助金、补贴资金223万元。城镇特困供养人员每月提高95元，农村特困供养人员每年提高600元，全年共发放特困人员、孤儿、残疾人等各项补助资金1343万元。养老服务体系建设取得新成绩，推动滨河老年公寓普惠养老东园分院建设，发放养老领域床位补贴资金419.4万元</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高龄津贴1420.2万元。推广</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老小福园</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模式，建成铁西街道豪德</w:t>
      </w:r>
      <w:r>
        <w:rPr>
          <w:rFonts w:hint="eastAsia" w:ascii="Times New Roman" w:hAnsi="Times New Roman" w:eastAsia="方正仿宋_GBK" w:cs="Times New Roman"/>
          <w:snapToGrid w:val="0"/>
          <w:color w:val="auto"/>
          <w:sz w:val="32"/>
          <w:szCs w:val="32"/>
          <w:u w:val="none"/>
          <w:lang w:val="en-US" w:eastAsia="zh-CN"/>
        </w:rPr>
        <w:t>社区</w:t>
      </w:r>
      <w:r>
        <w:rPr>
          <w:rFonts w:hint="default" w:ascii="Times New Roman" w:hAnsi="Times New Roman" w:eastAsia="方正仿宋_GBK" w:cs="Times New Roman"/>
          <w:snapToGrid w:val="0"/>
          <w:color w:val="auto"/>
          <w:sz w:val="32"/>
          <w:szCs w:val="32"/>
          <w:u w:val="none"/>
          <w:lang w:val="en-US" w:eastAsia="zh-CN"/>
        </w:rPr>
        <w:t>、南圪洞街道复圣元社区等22个养老服务站点。全面落实拥军优属各项政策，完善退役军人服务保障，发放各类</w:t>
      </w:r>
      <w:r>
        <w:rPr>
          <w:rFonts w:hint="default" w:ascii="Times New Roman" w:hAnsi="Times New Roman" w:eastAsia="方正仿宋_GBK" w:cs="Times New Roman"/>
          <w:snapToGrid w:val="0"/>
          <w:color w:val="auto"/>
          <w:spacing w:val="-9"/>
          <w:sz w:val="32"/>
          <w:szCs w:val="32"/>
          <w:u w:val="none"/>
          <w:lang w:val="en-US" w:eastAsia="zh-CN"/>
        </w:rPr>
        <w:t>补助金、优待金2177.8万元，开展创业和职业技能等适应性培训</w:t>
      </w:r>
      <w:r>
        <w:rPr>
          <w:rFonts w:hint="default" w:ascii="Times New Roman" w:hAnsi="Times New Roman" w:eastAsia="方正仿宋_GBK" w:cs="Times New Roman"/>
          <w:snapToGrid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办人民满意的教育。</w:t>
      </w:r>
      <w:r>
        <w:rPr>
          <w:rFonts w:hint="default" w:ascii="Times New Roman" w:hAnsi="Times New Roman" w:eastAsia="方正仿宋_GBK" w:cs="Times New Roman"/>
          <w:snapToGrid w:val="0"/>
          <w:color w:val="auto"/>
          <w:sz w:val="32"/>
          <w:szCs w:val="32"/>
          <w:u w:val="none"/>
          <w:lang w:val="en-US" w:eastAsia="zh-CN"/>
        </w:rPr>
        <w:t>深化校长</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选聘制</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改革，成立了以教研员为专业引领者的工作坊共17个，面向社会公开招聘104名教师，引进教育部重点师范院校、双一流建设高校、省级重点师范院校本科及以上学历优秀毕业生12名。新建回民小学、包头市第一实验小学绿地校区、西脑包幼儿园和复生园幼儿园项目进展顺利，优质教育资源配置更加均衡，区属高中普文普理一本及本科上线增值人数大幅增长，向全市教育</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第一方阵</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迈出坚实步伐。支持普惠性民办幼儿园发展，通过公建民营、民办公助等多种形式，全年新增普惠性幼儿园3所，新增普惠性幼儿学位210个。13所学校获得包头市文明校园荣誉称号，区属中小学文明校园创建工作百分之百达标，均获得市级文明校园称号。成功举办了东河区首届中小学生信息技术机器人大赛，科技工作成果丰硕。落实好国家各项学生资助惠民政策，全年累计资助家庭经济困难师生4789人次、874.3万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推进健康东河建设。</w:t>
      </w:r>
      <w:r>
        <w:rPr>
          <w:rFonts w:hint="default" w:ascii="Times New Roman" w:hAnsi="Times New Roman" w:eastAsia="方正仿宋_GBK" w:cs="Times New Roman"/>
          <w:snapToGrid w:val="0"/>
          <w:color w:val="auto"/>
          <w:sz w:val="32"/>
          <w:szCs w:val="32"/>
          <w:u w:val="none"/>
          <w:lang w:val="en-US" w:eastAsia="zh-CN"/>
        </w:rPr>
        <w:t>全面加强健康城市创建，创建各类健康细胞106个，全面推进健康东河行动落实，顺利通过国家卫生城市复审</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深入开展爱国卫生运动，城市卫生长效考核位居全市前列。深化公共卫生服务体系建设，区中西医结合医院、区中医院顺利通过二级甲等复审和评审，建成了自治区级慢病示范区。完善新冠肺炎、鼠疫防控方案预案，圆满完成524名额济纳滞留旅客来包健康监测工作。持续提升核酸检测能力，完成东河区中西医结合医院PCR实验室建设工作，设置全员核酸检测固定、流动采样点139个。持续开展新冠疫苗接种工作，设置疫苗接种点21个，接种覆盖面和覆盖率不断扩大。推动完善3家医疗集团建设工作，进一步促进优质资源下沉。提升基本公共卫生服务水平，规范开展家庭医生签约服务。强化就医、监管信息化建设，全区二级以上医疗机构实现网上挂号、缴费等基础功能，东河区沙尔沁镇中心卫生院远程医疗系统正式投入使用。实施中医院（蒙医药）康复服务能力提升工程，区中西医结合医院、区中医院完成康复科、康复中心规范化建设，实现100%的镇卫生院和社区卫生服务机构、70%的村卫生室提供中医药或蒙医药服务的目标，多层次、广覆盖的中医药服务网络基本建立。积极应对</w:t>
      </w:r>
      <w:r>
        <w:rPr>
          <w:rFonts w:hint="eastAsia" w:ascii="Times New Roman" w:hAnsi="Times New Roman" w:eastAsia="方正仿宋_GBK" w:cs="Times New Roman"/>
          <w:snapToGrid w:val="0"/>
          <w:color w:val="auto"/>
          <w:sz w:val="32"/>
          <w:szCs w:val="32"/>
          <w:u w:val="none"/>
          <w:lang w:val="en-US" w:eastAsia="zh-CN"/>
        </w:rPr>
        <w:t>人口</w:t>
      </w:r>
      <w:r>
        <w:rPr>
          <w:rFonts w:hint="default" w:ascii="Times New Roman" w:hAnsi="Times New Roman" w:eastAsia="方正仿宋_GBK" w:cs="Times New Roman"/>
          <w:snapToGrid w:val="0"/>
          <w:color w:val="auto"/>
          <w:sz w:val="32"/>
          <w:szCs w:val="32"/>
          <w:u w:val="none"/>
          <w:lang w:val="en-US" w:eastAsia="zh-CN"/>
        </w:rPr>
        <w:t>老龄化，全区13家养老院已与医疗机构签订医疗服务协议，辖区内已有3家医养结合机构。搭建完成包头市第一家医疗废弃物在线监管平台，实现医废处置</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云监管</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文体旅游事业取得新发展。</w:t>
      </w:r>
      <w:r>
        <w:rPr>
          <w:rFonts w:hint="default" w:ascii="Times New Roman" w:hAnsi="Times New Roman" w:eastAsia="方正仿宋_GBK" w:cs="Times New Roman"/>
          <w:color w:val="auto"/>
          <w:sz w:val="32"/>
          <w:szCs w:val="32"/>
          <w:u w:val="none"/>
          <w:lang w:eastAsia="zh-CN"/>
        </w:rPr>
        <w:t>深入实施文化惠民工程，组织开展各类文化惠民活动</w:t>
      </w:r>
      <w:r>
        <w:rPr>
          <w:rFonts w:hint="default" w:ascii="Times New Roman" w:hAnsi="Times New Roman" w:eastAsia="方正仿宋_GBK" w:cs="Times New Roman"/>
          <w:color w:val="auto"/>
          <w:sz w:val="32"/>
          <w:szCs w:val="32"/>
          <w:u w:val="none"/>
          <w:lang w:val="en-US" w:eastAsia="zh-CN"/>
        </w:rPr>
        <w:t>413场，惠及群众20余万人次。丰富发展全民健身事业，北梁全民健身中心完工，建成五人制足球场9块并免费对群众开放</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举办各类体育赛事15项，共计参与人数2200余人次；培训三级社会体育指导员52人，培育社会体育团体、协会10家，新增批复协会6家。南海湿地景区建设积极推进，包头剪纸展陈基地建设项目</w:t>
      </w:r>
      <w:r>
        <w:rPr>
          <w:rFonts w:hint="eastAsia" w:ascii="Times New Roman" w:hAnsi="Times New Roman" w:eastAsia="方正仿宋_GBK" w:cs="Times New Roman"/>
          <w:color w:val="auto"/>
          <w:sz w:val="32"/>
          <w:szCs w:val="32"/>
          <w:u w:val="none"/>
          <w:lang w:val="en-US" w:eastAsia="zh-CN"/>
        </w:rPr>
        <w:t>被</w:t>
      </w:r>
      <w:r>
        <w:rPr>
          <w:rFonts w:hint="default" w:ascii="Times New Roman" w:hAnsi="Times New Roman" w:eastAsia="方正仿宋_GBK" w:cs="Times New Roman"/>
          <w:color w:val="auto"/>
          <w:sz w:val="32"/>
          <w:szCs w:val="32"/>
          <w:u w:val="none"/>
          <w:lang w:val="en-US" w:eastAsia="zh-CN"/>
        </w:rPr>
        <w:t>列入</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十四五</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国家文化公园项目库，南海湿地体育公园建设项目</w:t>
      </w:r>
      <w:r>
        <w:rPr>
          <w:rFonts w:hint="eastAsia" w:ascii="Times New Roman" w:hAnsi="Times New Roman" w:eastAsia="方正仿宋_GBK" w:cs="Times New Roman"/>
          <w:color w:val="auto"/>
          <w:sz w:val="32"/>
          <w:szCs w:val="32"/>
          <w:u w:val="none"/>
          <w:lang w:val="en-US" w:eastAsia="zh-CN"/>
        </w:rPr>
        <w:t>被</w:t>
      </w:r>
      <w:r>
        <w:rPr>
          <w:rFonts w:hint="default" w:ascii="Times New Roman" w:hAnsi="Times New Roman" w:eastAsia="方正仿宋_GBK" w:cs="Times New Roman"/>
          <w:color w:val="auto"/>
          <w:sz w:val="32"/>
          <w:szCs w:val="32"/>
          <w:u w:val="none"/>
          <w:lang w:val="en-US" w:eastAsia="zh-CN"/>
        </w:rPr>
        <w:t>列入国家</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十四五</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体育公园建设项目库及自治区体育局重点项目库。扎实推进市级以上文物保护修缮工程，积极开展非遗面塑、剪纸进校园活动近500场次，学生参与人数达3.3万余人次。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b w:val="0"/>
          <w:bCs w:val="0"/>
          <w:color w:val="auto"/>
          <w:kern w:val="0"/>
          <w:sz w:val="32"/>
          <w:szCs w:val="32"/>
          <w:highlight w:val="none"/>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社会治理能力现代化。</w:t>
      </w:r>
      <w:r>
        <w:rPr>
          <w:rFonts w:hint="default" w:ascii="Times New Roman" w:hAnsi="Times New Roman" w:eastAsia="方正仿宋_GBK" w:cs="Times New Roman"/>
          <w:b w:val="0"/>
          <w:bCs w:val="0"/>
          <w:color w:val="auto"/>
          <w:kern w:val="0"/>
          <w:sz w:val="32"/>
          <w:szCs w:val="32"/>
          <w:highlight w:val="none"/>
          <w:u w:val="none"/>
          <w:lang w:val="en-US" w:eastAsia="zh-CN"/>
        </w:rPr>
        <w:t>全面压实安全生产责任，扎实推进安全生产专项整治三年行动和百日攻坚行动，常态化开展安全生产隐患排查整治。扎实开展东河区第一次全国自然灾害综合风险普查工作。食药安全风险有效防范，群众饮食用药安全得到有效保障。扎实做好全区应急物资保障服务工作，采购储备各类防疫物资87种、23.6万件。全力推动信访积案化解，中央巡视组交办的6批243件信访事项通过自治区审核，中联办第一批交办84件</w:t>
      </w:r>
      <w:r>
        <w:rPr>
          <w:rFonts w:hint="eastAsia" w:ascii="Times New Roman" w:hAnsi="Times New Roman" w:eastAsia="方正仿宋_GBK" w:cs="Times New Roman"/>
          <w:b w:val="0"/>
          <w:bCs w:val="0"/>
          <w:color w:val="auto"/>
          <w:kern w:val="0"/>
          <w:sz w:val="32"/>
          <w:szCs w:val="32"/>
          <w:highlight w:val="none"/>
          <w:u w:val="none"/>
          <w:lang w:val="en-US" w:eastAsia="zh-CN"/>
        </w:rPr>
        <w:t>已</w:t>
      </w:r>
      <w:r>
        <w:rPr>
          <w:rFonts w:hint="default" w:ascii="Times New Roman" w:hAnsi="Times New Roman" w:eastAsia="方正仿宋_GBK" w:cs="Times New Roman"/>
          <w:b w:val="0"/>
          <w:bCs w:val="0"/>
          <w:color w:val="auto"/>
          <w:kern w:val="0"/>
          <w:sz w:val="32"/>
          <w:szCs w:val="32"/>
          <w:highlight w:val="none"/>
          <w:u w:val="none"/>
          <w:lang w:val="en-US" w:eastAsia="zh-CN"/>
        </w:rPr>
        <w:t>化解76件、上报8件等待自治区审核。纵深推进扫黑除恶，共打掉涉黑涉恶团伙21个</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按照</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一案三查</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和</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三个不放过</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的要求，立案11件，给予党纪政务处分15人。全面贯彻落实党的民族政策，扎实铸牢中华民族共同体意识，全区各民族</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共同团结奋斗，共同繁荣发展</w:t>
      </w:r>
      <w:r>
        <w:rPr>
          <w:rFonts w:hint="eastAsia" w:ascii="Times New Roman" w:hAnsi="Times New Roman" w:eastAsia="方正仿宋_GBK" w:cs="Times New Roman"/>
          <w:b w:val="0"/>
          <w:bCs w:val="0"/>
          <w:color w:val="auto"/>
          <w:kern w:val="0"/>
          <w:sz w:val="32"/>
          <w:szCs w:val="32"/>
          <w:highlight w:val="none"/>
          <w:u w:val="none"/>
          <w:lang w:val="en-US" w:eastAsia="zh-CN"/>
        </w:rPr>
        <w:t>”</w:t>
      </w:r>
      <w:r>
        <w:rPr>
          <w:rFonts w:hint="default" w:ascii="Times New Roman" w:hAnsi="Times New Roman" w:eastAsia="方正仿宋_GBK" w:cs="Times New Roman"/>
          <w:b w:val="0"/>
          <w:bCs w:val="0"/>
          <w:color w:val="auto"/>
          <w:kern w:val="0"/>
          <w:sz w:val="32"/>
          <w:szCs w:val="32"/>
          <w:highlight w:val="none"/>
          <w:u w:val="none"/>
          <w:lang w:val="en-US" w:eastAsia="zh-CN"/>
        </w:rPr>
        <w:t>局面更加稳固。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b w:val="0"/>
          <w:bCs w:val="0"/>
          <w:color w:val="auto"/>
          <w:kern w:val="0"/>
          <w:sz w:val="32"/>
          <w:szCs w:val="32"/>
          <w:highlight w:val="none"/>
          <w:u w:val="none"/>
          <w:lang w:val="en-US" w:eastAsia="zh-CN"/>
        </w:rPr>
      </w:pPr>
      <w:r>
        <w:rPr>
          <w:rFonts w:hint="default" w:ascii="Times New Roman" w:hAnsi="Times New Roman" w:eastAsia="方正仿宋_GBK" w:cs="Times New Roman"/>
          <w:b/>
          <w:bCs/>
          <w:color w:val="auto"/>
          <w:kern w:val="0"/>
          <w:sz w:val="32"/>
          <w:szCs w:val="32"/>
          <w:highlight w:val="none"/>
          <w:u w:val="none"/>
          <w:lang w:val="en-US" w:eastAsia="zh-CN"/>
        </w:rPr>
        <w:t>综合来看，</w:t>
      </w:r>
      <w:r>
        <w:rPr>
          <w:rFonts w:hint="default" w:ascii="Times New Roman" w:hAnsi="Times New Roman" w:eastAsia="方正仿宋_GBK" w:cs="Times New Roman"/>
          <w:b w:val="0"/>
          <w:bCs w:val="0"/>
          <w:color w:val="auto"/>
          <w:kern w:val="0"/>
          <w:sz w:val="32"/>
          <w:szCs w:val="32"/>
          <w:highlight w:val="none"/>
          <w:u w:val="none"/>
          <w:lang w:val="en-US" w:eastAsia="zh-CN"/>
        </w:rPr>
        <w:t>过去一年，全区上下以坐不住的紧迫感、慢不得的危机感、等不起的责任感，跑起来、抢时间、争一流，全力抓紧抓实各项工作，经济持续稳定恢复，全年经济社会发展主要目标任务较好完成，各领域工作出现一系列具有关键性作用的积极变化，对标对表更加自觉、工作思路更为明晰、思想观念明显转变、精神状态极大提振、营商环境大为改观、发展后劲显著增强，全区高质量发展呈现出蒸蒸日上、欣欣向荣的良好态势。这些外在和内在的显著变化，为我们在新征程上破浪前行奠定了坚实基础，也增添了无穷信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b w:val="0"/>
          <w:bCs w:val="0"/>
          <w:color w:val="auto"/>
          <w:kern w:val="0"/>
          <w:sz w:val="32"/>
          <w:szCs w:val="32"/>
          <w:highlight w:val="none"/>
          <w:u w:val="none"/>
          <w:lang w:val="en-US" w:eastAsia="zh-CN"/>
        </w:rPr>
      </w:pPr>
      <w:r>
        <w:rPr>
          <w:rFonts w:hint="default" w:ascii="Times New Roman" w:hAnsi="Times New Roman" w:eastAsia="方正仿宋_GBK" w:cs="Times New Roman"/>
          <w:b/>
          <w:bCs/>
          <w:color w:val="auto"/>
          <w:kern w:val="0"/>
          <w:sz w:val="32"/>
          <w:szCs w:val="32"/>
          <w:highlight w:val="none"/>
          <w:u w:val="none"/>
          <w:lang w:val="en-US" w:eastAsia="zh-CN"/>
        </w:rPr>
        <w:t>同时看到，</w:t>
      </w:r>
      <w:r>
        <w:rPr>
          <w:rFonts w:hint="default" w:ascii="Times New Roman" w:hAnsi="Times New Roman" w:eastAsia="方正仿宋_GBK" w:cs="Times New Roman"/>
          <w:b w:val="0"/>
          <w:bCs w:val="0"/>
          <w:color w:val="auto"/>
          <w:kern w:val="0"/>
          <w:sz w:val="32"/>
          <w:szCs w:val="32"/>
          <w:highlight w:val="none"/>
          <w:u w:val="none"/>
          <w:lang w:val="en-US" w:eastAsia="zh-CN"/>
        </w:rPr>
        <w:t>实现我们的目标任重道远，制约我区高质量发展的深层次问题依然突出：地区经济总量不大与结构不优、质量不高并存，重碳倚能特征明显，创新驱动能力不强，新产业新业态培育较慢，发展不平衡、不充分依然是最大短板，产业转型升级任重道远；要素保障与营商环境不优并存，“双碳”和能耗“双控”宏观约束趋紧，空间布局、用地指标、资金、物流等要素支撑有限，营商环境对标先进还有不小差距，生态环境保护和污染防治任务依然艰巨；稳定的新增财源不足与刚性支出增加并存，政府负债率高，长期财政收支矛盾突出的难题亟待化解；中心城区更新滞后与北梁新区建设缓慢并存，老城区城市建设历史欠账和安全隐患较多，教育、医疗、养老、托幼等民生事业弱项不少，棚改建设依然在路上，城乡常态化、精细化、品质化管理水平需要提升。对此，我们必须高度重视，采取有效措施，打好总体战、攻坚战、持久战，扎实予以解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黑体_GBK" w:cs="Times New Roman"/>
          <w:b/>
          <w:bCs/>
          <w:snapToGrid w:val="0"/>
          <w:color w:val="auto"/>
          <w:sz w:val="32"/>
          <w:szCs w:val="32"/>
          <w:u w:val="none"/>
        </w:rPr>
      </w:pPr>
      <w:r>
        <w:rPr>
          <w:rFonts w:hint="default" w:ascii="Times New Roman" w:hAnsi="Times New Roman" w:eastAsia="方正黑体_GBK" w:cs="Times New Roman"/>
          <w:b/>
          <w:bCs/>
          <w:snapToGrid w:val="0"/>
          <w:color w:val="auto"/>
          <w:sz w:val="32"/>
          <w:szCs w:val="32"/>
          <w:u w:val="none"/>
        </w:rPr>
        <w:t>二、</w:t>
      </w:r>
      <w:r>
        <w:rPr>
          <w:rFonts w:hint="default" w:ascii="Times New Roman" w:hAnsi="Times New Roman" w:eastAsia="方正黑体_GBK" w:cs="Times New Roman"/>
          <w:b/>
          <w:bCs/>
          <w:snapToGrid w:val="0"/>
          <w:color w:val="auto"/>
          <w:sz w:val="32"/>
          <w:szCs w:val="32"/>
          <w:u w:val="none"/>
          <w:lang w:eastAsia="zh-CN"/>
        </w:rPr>
        <w:t>2022年经济社会发展总体要求</w:t>
      </w:r>
      <w:r>
        <w:rPr>
          <w:rFonts w:hint="default" w:ascii="Times New Roman" w:hAnsi="Times New Roman" w:eastAsia="方正黑体_GBK" w:cs="Times New Roman"/>
          <w:b/>
          <w:bCs/>
          <w:snapToGrid w:val="0"/>
          <w:color w:val="auto"/>
          <w:sz w:val="32"/>
          <w:szCs w:val="32"/>
          <w:u w:val="none"/>
        </w:rPr>
        <w:t>和主要目标</w:t>
      </w:r>
    </w:p>
    <w:p>
      <w:pPr>
        <w:pStyle w:val="3"/>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黑体_GBK" w:cs="Times New Roman"/>
          <w:b w:val="0"/>
          <w:bCs w:val="0"/>
          <w:color w:val="auto"/>
          <w:u w:val="none"/>
          <w:lang w:val="en-US" w:eastAsia="zh-CN"/>
        </w:rPr>
      </w:pPr>
      <w:r>
        <w:rPr>
          <w:rFonts w:hint="default" w:ascii="Times New Roman" w:hAnsi="Times New Roman" w:eastAsia="方正仿宋_GBK" w:cs="Times New Roman"/>
          <w:snapToGrid w:val="0"/>
          <w:color w:val="auto"/>
          <w:kern w:val="2"/>
          <w:sz w:val="32"/>
          <w:szCs w:val="32"/>
          <w:u w:val="none"/>
          <w:lang w:val="en-US" w:eastAsia="zh-CN" w:bidi="ar-SA"/>
        </w:rPr>
        <w:t>全区经济社会发展工作的总体要求是：</w:t>
      </w:r>
      <w:r>
        <w:rPr>
          <w:rFonts w:hint="default" w:ascii="Times New Roman" w:hAnsi="Times New Roman" w:eastAsia="方正黑体_GBK" w:cs="Times New Roman"/>
          <w:b w:val="0"/>
          <w:bCs w:val="0"/>
          <w:color w:val="auto"/>
          <w:u w:val="none"/>
          <w:lang w:val="en-US" w:eastAsia="zh-CN"/>
        </w:rPr>
        <w:t>以习近平新时代中国特色社会主义思想为指导，全面贯彻落实党的十九大和十九届历次全会精神及中央经济工作会议精神，深入贯彻落实习近平总书记对内蒙古重要讲话重要指示批示精神，认真贯彻落实自治区第十一次党代会、市第十三次党代会、区第十一次党代会精神，弘扬伟大建党精神，坚持稳中求进工作总基调，完整、准确、全面贯彻新发展理念，积极服务和融入新发展格局，全面深化改革开放，坚持创新驱动发展，坚持以供给侧结构性改革为主线，统筹疫情防控和经济社会发展，统筹发展和安全，坚定不移走以生态优先、绿色发展为导向的高质量发展新路子，继续做好</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六稳</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六保</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工作，建设</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五大组团</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，构筑</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五区目标</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，实现</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五大提升</w:t>
      </w:r>
      <w:r>
        <w:rPr>
          <w:rFonts w:hint="eastAsia" w:ascii="Times New Roman" w:hAnsi="Times New Roman" w:eastAsia="方正黑体_GBK" w:cs="Times New Roman"/>
          <w:b w:val="0"/>
          <w:bCs w:val="0"/>
          <w:color w:val="auto"/>
          <w:u w:val="none"/>
          <w:lang w:val="en-US" w:eastAsia="zh-CN"/>
        </w:rPr>
        <w:t>”</w:t>
      </w:r>
      <w:r>
        <w:rPr>
          <w:rFonts w:hint="default" w:ascii="Times New Roman" w:hAnsi="Times New Roman" w:eastAsia="方正黑体_GBK" w:cs="Times New Roman"/>
          <w:b w:val="0"/>
          <w:bCs w:val="0"/>
          <w:color w:val="auto"/>
          <w:u w:val="none"/>
          <w:lang w:val="en-US" w:eastAsia="zh-CN"/>
        </w:rPr>
        <w:t>，着力保障和改善民生，全力争取经济运行有最好结果，保持社会大局稳定，以优异成绩迎接党的二十大胜利召开。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snapToGrid w:val="0"/>
          <w:color w:val="auto"/>
          <w:sz w:val="32"/>
          <w:szCs w:val="32"/>
          <w:u w:val="none"/>
          <w:lang w:val="en-US" w:eastAsia="zh-CN"/>
        </w:rPr>
        <w:t>今年面临的发展环境更加复杂，</w:t>
      </w:r>
      <w:r>
        <w:rPr>
          <w:rFonts w:hint="eastAsia" w:ascii="Times New Roman" w:hAnsi="Times New Roman" w:eastAsia="方正仿宋_GBK" w:cs="Times New Roman"/>
          <w:snapToGrid w:val="0"/>
          <w:color w:val="auto"/>
          <w:sz w:val="32"/>
          <w:szCs w:val="32"/>
          <w:u w:val="none"/>
          <w:lang w:val="en-US" w:eastAsia="zh-CN"/>
        </w:rPr>
        <w:t>国内外</w:t>
      </w:r>
      <w:r>
        <w:rPr>
          <w:rFonts w:hint="default" w:ascii="Times New Roman" w:hAnsi="Times New Roman" w:eastAsia="方正仿宋_GBK" w:cs="Times New Roman"/>
          <w:snapToGrid w:val="0"/>
          <w:color w:val="auto"/>
          <w:sz w:val="32"/>
          <w:szCs w:val="32"/>
          <w:u w:val="none"/>
          <w:lang w:val="en-US" w:eastAsia="zh-CN"/>
        </w:rPr>
        <w:t>宏观经济形势依然严峻复杂，新冠肺炎疫情</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外防输入，内防反弹</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压力依然较大。尽管我们面临的困难和挑战很多，但是经济发展的利好因素也在积聚，国家一系列政策效应将进一步显现，我区已经建成的产能效益正在释放，一批新的重大项目将陆续开工，经济稳中向好、长期向好的基本趋势没有改变。我们既要正视困难问题，化挑战为机遇、变压力为动力，在发展中化解风险，也要坚定信心决心，加快把战略机遇和政策红利转化为增长动力和发展效益。这些都将成为做好今年经济工作的强大内生动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snapToGrid w:val="0"/>
          <w:color w:val="auto"/>
          <w:sz w:val="32"/>
          <w:szCs w:val="32"/>
          <w:u w:val="none"/>
          <w:lang w:val="en-US" w:eastAsia="zh-CN"/>
        </w:rPr>
        <w:t>为贯彻区</w:t>
      </w:r>
      <w:bookmarkStart w:id="0" w:name="_GoBack"/>
      <w:bookmarkEnd w:id="0"/>
      <w:r>
        <w:rPr>
          <w:rFonts w:hint="default" w:ascii="Times New Roman" w:hAnsi="Times New Roman" w:eastAsia="方正仿宋_GBK" w:cs="Times New Roman"/>
          <w:snapToGrid w:val="0"/>
          <w:color w:val="auto"/>
          <w:sz w:val="32"/>
          <w:szCs w:val="32"/>
          <w:u w:val="none"/>
          <w:lang w:val="en-US" w:eastAsia="zh-CN"/>
        </w:rPr>
        <w:t>第十一次党代会精神，落实《政府工作报告》决策部署，建议2022年全区经济社会发展主要预期目标如下：地区生产总值增长8%以上，固定资产投资增长30%以上，社会消费品零售总额增长8%左右，一般公共预算收入增长6%左右，城乡居民人均可支配收入增长与经济增长同步。全面完成上级下达的各项约束性指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黑体_GBK" w:cs="Times New Roman"/>
          <w:b/>
          <w:bCs/>
          <w:snapToGrid w:val="0"/>
          <w:color w:val="auto"/>
          <w:sz w:val="32"/>
          <w:szCs w:val="32"/>
          <w:u w:val="none"/>
          <w:lang w:val="en-US" w:eastAsia="zh-CN"/>
        </w:rPr>
        <w:t>三、2022年经济社会发展主要任务和重点措施</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snapToGrid w:val="0"/>
          <w:color w:val="auto"/>
          <w:sz w:val="32"/>
          <w:szCs w:val="32"/>
          <w:u w:val="none"/>
          <w:lang w:val="en-US" w:eastAsia="zh-CN"/>
        </w:rPr>
        <w:t>2022年是党的二十大召开之年，是开启全面建设社会主义现代化国家新征程、向着第二个百年奋斗目标进军的第一年，全区上下要树立</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起步就要提速，开局就要争先</w:t>
      </w:r>
      <w:r>
        <w:rPr>
          <w:rFonts w:hint="eastAsia" w:ascii="Times New Roman" w:hAnsi="Times New Roman" w:eastAsia="方正仿宋_GBK" w:cs="Times New Roman"/>
          <w:snapToGrid w:val="0"/>
          <w:color w:val="auto"/>
          <w:sz w:val="32"/>
          <w:szCs w:val="32"/>
          <w:u w:val="none"/>
          <w:lang w:val="en-US" w:eastAsia="zh-CN"/>
        </w:rPr>
        <w:t>”的</w:t>
      </w:r>
      <w:r>
        <w:rPr>
          <w:rFonts w:hint="default" w:ascii="Times New Roman" w:hAnsi="Times New Roman" w:eastAsia="方正仿宋_GBK" w:cs="Times New Roman"/>
          <w:snapToGrid w:val="0"/>
          <w:color w:val="auto"/>
          <w:sz w:val="32"/>
          <w:szCs w:val="32"/>
          <w:u w:val="none"/>
          <w:lang w:val="en-US" w:eastAsia="zh-CN"/>
        </w:rPr>
        <w:t>意识，重点抓好以下六个方面的工作。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楷体_GBK" w:cs="Times New Roman"/>
          <w:b/>
          <w:bCs/>
          <w:color w:val="auto"/>
          <w:kern w:val="0"/>
          <w:sz w:val="32"/>
          <w:szCs w:val="32"/>
          <w:u w:val="none"/>
          <w:lang w:val="en-US" w:eastAsia="zh-CN"/>
        </w:rPr>
      </w:pPr>
      <w:r>
        <w:rPr>
          <w:rFonts w:hint="default" w:ascii="Times New Roman" w:hAnsi="Times New Roman" w:eastAsia="方正楷体_GBK" w:cs="Times New Roman"/>
          <w:b/>
          <w:bCs/>
          <w:color w:val="auto"/>
          <w:kern w:val="0"/>
          <w:sz w:val="32"/>
          <w:szCs w:val="32"/>
          <w:u w:val="none"/>
          <w:lang w:val="en-US" w:eastAsia="zh-CN"/>
        </w:rPr>
        <w:t>（一）加快产业转型升级，推动经济高质量发展</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pacing w:val="-6"/>
          <w:sz w:val="32"/>
          <w:szCs w:val="32"/>
          <w:u w:val="none"/>
          <w:lang w:val="en-US" w:eastAsia="zh-CN"/>
        </w:rPr>
      </w:pPr>
      <w:r>
        <w:rPr>
          <w:rFonts w:hint="default" w:ascii="Times New Roman" w:hAnsi="Times New Roman" w:eastAsia="方正仿宋_GBK" w:cs="Times New Roman"/>
          <w:b/>
          <w:bCs/>
          <w:color w:val="auto"/>
          <w:kern w:val="0"/>
          <w:sz w:val="32"/>
          <w:szCs w:val="32"/>
          <w:u w:val="none"/>
          <w:lang w:val="en-US" w:eastAsia="zh-CN"/>
        </w:rPr>
        <w:t>一是提高工业经济质量效益。</w:t>
      </w:r>
      <w:r>
        <w:rPr>
          <w:rFonts w:hint="default" w:ascii="Times New Roman" w:hAnsi="Times New Roman" w:eastAsia="方正仿宋_GBK" w:cs="Times New Roman"/>
          <w:snapToGrid w:val="0"/>
          <w:color w:val="auto"/>
          <w:sz w:val="32"/>
          <w:szCs w:val="32"/>
          <w:u w:val="none"/>
          <w:lang w:val="en-US" w:eastAsia="zh-CN"/>
        </w:rPr>
        <w:t>全力推动华云42万吨轻合金项目建设，支持包铝建设综合能源供应体系，实施300MW</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源网荷储一体化</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项目，推动电解铝产能达到150万吨，创建自治区首批低碳园区。推动包铝高纯铝建成年产6万吨产能，延伸高纯铝应用产业链。推动正威铜基新材料产业园一期、中氢能源1000吨介孔纳米三氧化二铝、微科20万吨绿色轻量化高端铝合金新材料精深加工、华北铝业9.1万吨电池箔铸轧铝板材、河南瑞祥150万套铝合金汽车零部件及新能源电磁包、通标铝业1.36万吨稀土硅合金等项目建设，不断丰富、拓展铜基新材料、新能源、高端铝型材、汽车轻量化、稀土铝新材料等产业链条。推进产业数字化，建设包头数字产业研究院和中小企业信用体系供应链金融公共服务平台，为企业提供单品数字化营销及在线定制批发集采贸易服务。着眼</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5G+工业互联网</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应用，发挥包铝5G工业互联网平台作用，支持盛泰、汇众等龙头企业智能工厂建设，推动传统企业向智能化发展。完成铝业园区纬四路翻修及配套基础设施建</w:t>
      </w:r>
      <w:r>
        <w:rPr>
          <w:rFonts w:hint="default" w:ascii="Times New Roman" w:hAnsi="Times New Roman" w:eastAsia="方正仿宋_GBK" w:cs="Times New Roman"/>
          <w:snapToGrid w:val="0"/>
          <w:color w:val="auto"/>
          <w:spacing w:val="-6"/>
          <w:sz w:val="32"/>
          <w:szCs w:val="32"/>
          <w:u w:val="none"/>
          <w:lang w:val="en-US" w:eastAsia="zh-CN"/>
        </w:rPr>
        <w:t>设工程，开工建设10万平方米标准化厂房，不断提高园区承载能力。</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color w:val="auto"/>
          <w:kern w:val="0"/>
          <w:sz w:val="32"/>
          <w:szCs w:val="32"/>
          <w:u w:val="none"/>
          <w:lang w:val="en-US" w:eastAsia="zh-CN"/>
        </w:rPr>
        <w:t>二是促进服务业增量提质。</w:t>
      </w:r>
      <w:r>
        <w:rPr>
          <w:rFonts w:hint="default" w:ascii="Times New Roman" w:hAnsi="Times New Roman" w:eastAsia="方正仿宋_GBK" w:cs="Times New Roman"/>
          <w:snapToGrid w:val="0"/>
          <w:color w:val="auto"/>
          <w:sz w:val="32"/>
          <w:szCs w:val="32"/>
          <w:u w:val="none"/>
          <w:lang w:val="en-US" w:eastAsia="zh-CN"/>
        </w:rPr>
        <w:t>聚焦物流、软件和信息技术、研发设计、节能环保、人力资源等12个细分行业，发挥基础优势，加大引进力度，推动生产性服务业向专业化和价值链高端延伸。充分发挥人力资本产业园、数字经济产业园和新建电商园优势，瞄准行业领军企业、新锐企业，大力引进、培育、孵化一批龙头企业、区域总部。加快东兴物流仓储服务中心、智慧物流产业转型升级示范园等项目建设，推动现代物流业持续稳步发展。聚焦旅游、医疗健康、养老、批发零售、住宿餐饮等8个细分行业，扩大生活性服务业供给，推动生活性服务业向高品质和多样化升级。围绕工业品、图书、粮食、服装等专业市场，引进知名服务业企业，加快推动传统批发零售业转型，实现信息交流、体验服务和购买商品相融合的一站式服务。大力引进星级品牌酒店和国内一流商务酒店，全力推动茂业购物中心、酒店项目启动实施。筹备</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包头•沧州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商贸流通服装产业交流峰会，举办“包头·惠州”服装节等节庆活动。发挥包头市商贸流通协会作用，引导商贸服务企业错位发展、有序竞争，抱团壮大，力争入库限上批零住餐企业达到100户。</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bCs/>
          <w:color w:val="auto"/>
          <w:kern w:val="0"/>
          <w:sz w:val="32"/>
          <w:szCs w:val="32"/>
          <w:u w:val="none"/>
          <w:lang w:val="en-US" w:eastAsia="zh-CN"/>
        </w:rPr>
      </w:pPr>
      <w:r>
        <w:rPr>
          <w:rFonts w:hint="default" w:ascii="Times New Roman" w:hAnsi="Times New Roman" w:eastAsia="方正仿宋_GBK" w:cs="Times New Roman"/>
          <w:b/>
          <w:bCs/>
          <w:color w:val="auto"/>
          <w:kern w:val="0"/>
          <w:sz w:val="32"/>
          <w:szCs w:val="32"/>
          <w:u w:val="none"/>
          <w:lang w:val="en-US" w:eastAsia="zh-CN"/>
        </w:rPr>
        <w:t>三是推动农业做精做优做特。</w:t>
      </w:r>
      <w:r>
        <w:rPr>
          <w:rFonts w:hint="default" w:ascii="Times New Roman" w:hAnsi="Times New Roman" w:eastAsia="方正仿宋_GBK" w:cs="Times New Roman"/>
          <w:color w:val="auto"/>
          <w:sz w:val="32"/>
          <w:szCs w:val="32"/>
          <w:u w:val="none"/>
          <w:lang w:val="en-US" w:eastAsia="zh-CN"/>
        </w:rPr>
        <w:t>推进农业固碳增产试验示范，大力推广二氧化碳气肥应用，示范种植玉米大豆带状复种面积2万亩、鲜食玉米标准化种植3000亩，粮食作物播种面积保持在9万亩以上，产量稳定在1亿斤以上。实施万亩设施蔬菜种植基地项目，集中连片升级改造老旧温室2000亩，蔬菜播种面积达到6万亩，产量稳定在45万吨以上，工厂化蔬菜育苗能力达到2亿株。创建数字农业创新产业园，打造农业数字经济发展中心。优化种植结构，增加名特优蔬菜、瓜果品种，发展高品质冷凉蔬菜种植，新增“两品一标”认证农产品3个以上。加强新型经营主体培育，新增市级以上新型农牧业生产经营主体6个。</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楷体_GBK" w:cs="Times New Roman"/>
          <w:b/>
          <w:bCs/>
          <w:snapToGrid w:val="0"/>
          <w:color w:val="auto"/>
          <w:sz w:val="32"/>
          <w:szCs w:val="32"/>
          <w:u w:val="none"/>
          <w:lang w:val="en-US" w:eastAsia="zh-CN"/>
        </w:rPr>
      </w:pPr>
      <w:r>
        <w:rPr>
          <w:rFonts w:hint="default" w:ascii="Times New Roman" w:hAnsi="Times New Roman" w:eastAsia="方正楷体_GBK" w:cs="Times New Roman"/>
          <w:b/>
          <w:bCs/>
          <w:color w:val="auto"/>
          <w:kern w:val="0"/>
          <w:sz w:val="32"/>
          <w:szCs w:val="32"/>
          <w:u w:val="none"/>
          <w:lang w:val="en-US" w:eastAsia="zh-CN"/>
        </w:rPr>
        <w:t>（二）</w:t>
      </w:r>
      <w:r>
        <w:rPr>
          <w:rFonts w:hint="default" w:ascii="Times New Roman" w:hAnsi="Times New Roman" w:eastAsia="方正楷体_GBK" w:cs="Times New Roman"/>
          <w:b/>
          <w:bCs/>
          <w:snapToGrid w:val="0"/>
          <w:color w:val="auto"/>
          <w:sz w:val="32"/>
          <w:szCs w:val="32"/>
          <w:u w:val="none"/>
          <w:lang w:val="en-US" w:eastAsia="zh-CN"/>
        </w:rPr>
        <w:t>狠抓重点项目建设，着力扩大有效投资</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val="0"/>
          <w:bCs/>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一是强化项目建设。</w:t>
      </w:r>
      <w:r>
        <w:rPr>
          <w:rFonts w:hint="default" w:ascii="Times New Roman" w:hAnsi="Times New Roman" w:eastAsia="方正仿宋_GBK" w:cs="Times New Roman"/>
          <w:b w:val="0"/>
          <w:bCs/>
          <w:color w:val="auto"/>
          <w:sz w:val="32"/>
          <w:szCs w:val="32"/>
          <w:u w:val="none"/>
          <w:lang w:val="en-US" w:eastAsia="zh-CN"/>
        </w:rPr>
        <w:t>全力抓好重大项目建设，全年谋划实施重点项目103个，确保年内完成投资145.3亿元。全力协调做好资金要素保障，确保4月底前重大项目全部开复工。加大重点项目管理和服务力度，严格落实重大项目县级领导包联和服务专班机制，按照</w:t>
      </w:r>
      <w:r>
        <w:rPr>
          <w:rFonts w:hint="eastAsia" w:ascii="Times New Roman" w:hAnsi="Times New Roman" w:eastAsia="方正仿宋_GBK" w:cs="Times New Roman"/>
          <w:b w:val="0"/>
          <w:bCs/>
          <w:color w:val="auto"/>
          <w:sz w:val="32"/>
          <w:szCs w:val="32"/>
          <w:u w:val="none"/>
          <w:lang w:val="en-US" w:eastAsia="zh-CN"/>
        </w:rPr>
        <w:t>“</w:t>
      </w:r>
      <w:r>
        <w:rPr>
          <w:rFonts w:hint="default" w:ascii="Times New Roman" w:hAnsi="Times New Roman" w:eastAsia="方正仿宋_GBK" w:cs="Times New Roman"/>
          <w:b w:val="0"/>
          <w:bCs/>
          <w:color w:val="auto"/>
          <w:sz w:val="32"/>
          <w:szCs w:val="32"/>
          <w:u w:val="none"/>
          <w:lang w:val="en-US" w:eastAsia="zh-CN"/>
        </w:rPr>
        <w:t>保前期手续、保开工建设、保施工进度、保竣工投产</w:t>
      </w:r>
      <w:r>
        <w:rPr>
          <w:rFonts w:hint="eastAsia" w:ascii="Times New Roman" w:hAnsi="Times New Roman" w:eastAsia="方正仿宋_GBK" w:cs="Times New Roman"/>
          <w:b w:val="0"/>
          <w:bCs/>
          <w:color w:val="auto"/>
          <w:sz w:val="32"/>
          <w:szCs w:val="32"/>
          <w:u w:val="none"/>
          <w:lang w:val="en-US" w:eastAsia="zh-CN"/>
        </w:rPr>
        <w:t>”</w:t>
      </w:r>
      <w:r>
        <w:rPr>
          <w:rFonts w:hint="default" w:ascii="Times New Roman" w:hAnsi="Times New Roman" w:eastAsia="方正仿宋_GBK" w:cs="Times New Roman"/>
          <w:b w:val="0"/>
          <w:bCs/>
          <w:color w:val="auto"/>
          <w:sz w:val="32"/>
          <w:szCs w:val="32"/>
          <w:u w:val="none"/>
          <w:lang w:val="en-US" w:eastAsia="zh-CN"/>
        </w:rPr>
        <w:t>四保要求，完善项目调度制度，第一时间协调解决存在困难问题，保证项目建设按计划有序推进。</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0"/>
        <w:textAlignment w:val="auto"/>
        <w:rPr>
          <w:rFonts w:hint="default" w:ascii="Times New Roman" w:hAnsi="Times New Roman" w:eastAsia="方正楷体_GBK" w:cs="Times New Roman"/>
          <w:b/>
          <w:bCs/>
          <w:color w:val="auto"/>
          <w:kern w:val="0"/>
          <w:sz w:val="32"/>
          <w:szCs w:val="32"/>
          <w:u w:val="none"/>
          <w:lang w:val="en-US" w:eastAsia="zh-CN"/>
        </w:rPr>
      </w:pPr>
      <w:r>
        <w:rPr>
          <w:rFonts w:hint="default" w:ascii="Times New Roman" w:hAnsi="Times New Roman" w:eastAsia="方正仿宋_GBK" w:cs="Times New Roman"/>
          <w:b/>
          <w:bCs/>
          <w:color w:val="auto"/>
          <w:kern w:val="0"/>
          <w:sz w:val="32"/>
          <w:szCs w:val="32"/>
          <w:u w:val="none"/>
          <w:lang w:val="en-US" w:eastAsia="zh-CN"/>
        </w:rPr>
        <w:t>二是精准招商引资。</w:t>
      </w:r>
      <w:r>
        <w:rPr>
          <w:rFonts w:hint="default" w:ascii="Times New Roman" w:hAnsi="Times New Roman" w:eastAsia="方正仿宋_GBK" w:cs="Times New Roman"/>
          <w:snapToGrid w:val="0"/>
          <w:color w:val="auto"/>
          <w:sz w:val="32"/>
          <w:szCs w:val="32"/>
          <w:u w:val="none"/>
          <w:lang w:val="en-US" w:eastAsia="zh-CN"/>
        </w:rPr>
        <w:t>坚持全员上手抓项目、抓招商，主动对接商会、协会、专业招商机构等，围绕工业、城市矿产循环经济、文旅融合、绿色农业、城市建设运营5条产业链开展精准招商，严把项目准入评审，综合评价项目用地规模、投资强度、产值税收等指标，推动谈改签、签改建、建改投，形成项目梯次推进、滚动发展的良好局面。全年力争对接企业</w:t>
      </w:r>
      <w:r>
        <w:rPr>
          <w:rFonts w:hint="eastAsia" w:ascii="Times New Roman" w:hAnsi="Times New Roman" w:eastAsia="方正仿宋_GBK" w:cs="Times New Roman"/>
          <w:snapToGrid w:val="0"/>
          <w:color w:val="auto"/>
          <w:sz w:val="32"/>
          <w:szCs w:val="32"/>
          <w:u w:val="none"/>
          <w:lang w:val="en-US" w:eastAsia="zh-CN"/>
        </w:rPr>
        <w:t>4</w:t>
      </w:r>
      <w:r>
        <w:rPr>
          <w:rFonts w:hint="default" w:ascii="Times New Roman" w:hAnsi="Times New Roman" w:eastAsia="方正仿宋_GBK" w:cs="Times New Roman"/>
          <w:snapToGrid w:val="0"/>
          <w:color w:val="auto"/>
          <w:sz w:val="32"/>
          <w:szCs w:val="32"/>
          <w:u w:val="none"/>
          <w:lang w:val="en-US" w:eastAsia="zh-CN"/>
        </w:rPr>
        <w:t>00家以上，签约项目100个以上，协议总金额达到700亿元以上，争取更多项目落地建设，切实提高招商引资实效。</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0"/>
          <w:sz w:val="32"/>
          <w:szCs w:val="32"/>
          <w:u w:val="none"/>
          <w:lang w:val="en-US" w:eastAsia="zh-CN"/>
        </w:rPr>
        <w:t>（三）深入推进生态文明建设，形成绿色发展新格局</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一是</w:t>
      </w:r>
      <w:r>
        <w:rPr>
          <w:rFonts w:hint="default" w:ascii="Times New Roman" w:hAnsi="Times New Roman" w:eastAsia="方正仿宋_GBK" w:cs="Times New Roman"/>
          <w:b/>
          <w:bCs/>
          <w:color w:val="auto"/>
          <w:kern w:val="0"/>
          <w:sz w:val="32"/>
          <w:szCs w:val="32"/>
          <w:u w:val="none"/>
          <w:lang w:val="en-US" w:eastAsia="zh-CN"/>
        </w:rPr>
        <w:t>持续打好污染防治攻坚战。</w:t>
      </w:r>
      <w:r>
        <w:rPr>
          <w:rFonts w:hint="default" w:ascii="Times New Roman" w:hAnsi="Times New Roman" w:eastAsia="方正仿宋_GBK" w:cs="Times New Roman"/>
          <w:snapToGrid w:val="0"/>
          <w:color w:val="auto"/>
          <w:sz w:val="32"/>
          <w:szCs w:val="32"/>
          <w:u w:val="none"/>
          <w:lang w:val="en-US" w:eastAsia="zh-CN"/>
        </w:rPr>
        <w:t>坚持源头防控、系统治理，以更高标准打好蓝天、碧水、净土保卫战。严格空气质量网格化监管考核，深化工业、燃煤、扬尘、机动车污染综合防治，完成47处、292.3万平方米黄土裸露问题治理，推动空气质量优良天数持续向好。加强水生态综合治理，常态化开展水源地保护区、河湖库</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清四乱</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巡查整治，完成南海湖水体治理及生态修复工程。提升再生水利用能力，建设再生水管线34公里、再生水泵站1座。强化土壤环境风险管控，严厉打击固体废物及危险废物非法转移和倾倒行为。坚持铁腕执法，动态清零</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散乱污</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企业。严格落实河湖长制、林长制等长效管护机制，完成各级环保督察反馈问题整改。</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snapToGrid w:val="0"/>
          <w:color w:val="auto"/>
          <w:sz w:val="32"/>
          <w:szCs w:val="32"/>
          <w:u w:val="none"/>
          <w:lang w:val="en-US" w:eastAsia="zh-CN"/>
        </w:rPr>
        <w:t>二是</w:t>
      </w:r>
      <w:r>
        <w:rPr>
          <w:rFonts w:hint="default" w:ascii="Times New Roman" w:hAnsi="Times New Roman" w:eastAsia="方正仿宋_GBK" w:cs="Times New Roman"/>
          <w:b/>
          <w:bCs/>
          <w:color w:val="auto"/>
          <w:kern w:val="0"/>
          <w:sz w:val="32"/>
          <w:szCs w:val="32"/>
          <w:u w:val="none"/>
          <w:lang w:val="en-US" w:eastAsia="zh-CN"/>
        </w:rPr>
        <w:t>全面推进全社会绿色低碳转型。</w:t>
      </w:r>
      <w:r>
        <w:rPr>
          <w:rFonts w:hint="default" w:ascii="Times New Roman" w:hAnsi="Times New Roman" w:eastAsia="方正仿宋_GBK" w:cs="Times New Roman"/>
          <w:snapToGrid w:val="0"/>
          <w:color w:val="auto"/>
          <w:sz w:val="32"/>
          <w:szCs w:val="32"/>
          <w:u w:val="none"/>
          <w:lang w:val="en-US" w:eastAsia="zh-CN"/>
        </w:rPr>
        <w:t>全面落实碳达峰碳中和部署，抓住能耗</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双控</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向碳排放总量和强度</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双控</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转变契机，加强对能源消耗大户企业的监管。实施能耗预算管理，推进工业综合性标准化评价体系运用，坚决淘汰低效落后产能。严格控制煤炭消费增量，不断提升集中供热覆盖面积和供热水平；继续实</w:t>
      </w:r>
      <w:r>
        <w:rPr>
          <w:rFonts w:hint="default" w:ascii="Times New Roman" w:hAnsi="Times New Roman" w:eastAsia="方正仿宋_GBK" w:cs="Times New Roman"/>
          <w:snapToGrid w:val="0"/>
          <w:color w:val="auto"/>
          <w:spacing w:val="-6"/>
          <w:sz w:val="32"/>
          <w:szCs w:val="32"/>
          <w:u w:val="none"/>
          <w:lang w:val="en-US" w:eastAsia="zh-CN"/>
        </w:rPr>
        <w:t>施老旧小区天然气改造工程，有序推进农村</w:t>
      </w:r>
      <w:r>
        <w:rPr>
          <w:rFonts w:hint="eastAsia" w:ascii="Times New Roman" w:hAnsi="Times New Roman" w:eastAsia="方正仿宋_GBK" w:cs="Times New Roman"/>
          <w:snapToGrid w:val="0"/>
          <w:color w:val="auto"/>
          <w:spacing w:val="-6"/>
          <w:sz w:val="32"/>
          <w:szCs w:val="32"/>
          <w:u w:val="none"/>
          <w:lang w:val="en-US" w:eastAsia="zh-CN"/>
        </w:rPr>
        <w:t>“</w:t>
      </w:r>
      <w:r>
        <w:rPr>
          <w:rFonts w:hint="default" w:ascii="Times New Roman" w:hAnsi="Times New Roman" w:eastAsia="方正仿宋_GBK" w:cs="Times New Roman"/>
          <w:snapToGrid w:val="0"/>
          <w:color w:val="auto"/>
          <w:spacing w:val="-6"/>
          <w:sz w:val="32"/>
          <w:szCs w:val="32"/>
          <w:u w:val="none"/>
          <w:lang w:val="en-US" w:eastAsia="zh-CN"/>
        </w:rPr>
        <w:t>煤改气</w:t>
      </w:r>
      <w:r>
        <w:rPr>
          <w:rFonts w:hint="eastAsia" w:ascii="Times New Roman" w:hAnsi="Times New Roman" w:eastAsia="方正仿宋_GBK" w:cs="Times New Roman"/>
          <w:snapToGrid w:val="0"/>
          <w:color w:val="auto"/>
          <w:spacing w:val="-6"/>
          <w:sz w:val="32"/>
          <w:szCs w:val="32"/>
          <w:u w:val="none"/>
          <w:lang w:val="en-US" w:eastAsia="zh-CN"/>
        </w:rPr>
        <w:t>”</w:t>
      </w:r>
      <w:r>
        <w:rPr>
          <w:rFonts w:hint="default" w:ascii="Times New Roman" w:hAnsi="Times New Roman" w:eastAsia="方正仿宋_GBK" w:cs="Times New Roman"/>
          <w:snapToGrid w:val="0"/>
          <w:color w:val="auto"/>
          <w:spacing w:val="-6"/>
          <w:sz w:val="32"/>
          <w:szCs w:val="32"/>
          <w:u w:val="none"/>
          <w:lang w:val="en-US" w:eastAsia="zh-CN"/>
        </w:rPr>
        <w:t>、</w:t>
      </w:r>
      <w:r>
        <w:rPr>
          <w:rFonts w:hint="eastAsia" w:ascii="Times New Roman" w:hAnsi="Times New Roman" w:eastAsia="方正仿宋_GBK" w:cs="Times New Roman"/>
          <w:snapToGrid w:val="0"/>
          <w:color w:val="auto"/>
          <w:spacing w:val="-6"/>
          <w:sz w:val="32"/>
          <w:szCs w:val="32"/>
          <w:u w:val="none"/>
          <w:lang w:val="en-US" w:eastAsia="zh-CN"/>
        </w:rPr>
        <w:t>“</w:t>
      </w:r>
      <w:r>
        <w:rPr>
          <w:rFonts w:hint="default" w:ascii="Times New Roman" w:hAnsi="Times New Roman" w:eastAsia="方正仿宋_GBK" w:cs="Times New Roman"/>
          <w:snapToGrid w:val="0"/>
          <w:color w:val="auto"/>
          <w:spacing w:val="-6"/>
          <w:sz w:val="32"/>
          <w:szCs w:val="32"/>
          <w:u w:val="none"/>
          <w:lang w:val="en-US" w:eastAsia="zh-CN"/>
        </w:rPr>
        <w:t>煤改</w:t>
      </w:r>
      <w:r>
        <w:rPr>
          <w:rFonts w:hint="default" w:ascii="Times New Roman" w:hAnsi="Times New Roman" w:eastAsia="方正仿宋_GBK" w:cs="Times New Roman"/>
          <w:snapToGrid w:val="0"/>
          <w:color w:val="auto"/>
          <w:sz w:val="32"/>
          <w:szCs w:val="32"/>
          <w:u w:val="none"/>
          <w:lang w:val="en-US" w:eastAsia="zh-CN"/>
        </w:rPr>
        <w:t>电</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和新能源利用，完成39个村（片区）、200万平方米清洁取暖改造工程，建成区实现清洁取暖全覆盖。实施包铝自备电厂1号、2号机组节能改造、东华热电机组控制系统改造项目，促进企业生产减污降碳增效。大力发展绿色产业，推行合同能源管理，深入开展绿色办公、绿色学校、绿色商场、绿色餐饮创建活动，推动城区垃圾分类全覆盖，广泛推行绿色低碳生活方式。加快国家</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城市矿产</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示范基地建设，开工建设永都纸业20万吨高强度瓦楞原纸、5万吨高档生活用纸生产线项目，引进山鹰国际</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城市绿色管家</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项目，建设再生资源分拣中心3处，推进生活垃圾分类和处置，实现减量化、无害化和资源化利用。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楷体_GBK" w:cs="Times New Roman"/>
          <w:b/>
          <w:bCs/>
          <w:color w:val="auto"/>
          <w:kern w:val="0"/>
          <w:sz w:val="32"/>
          <w:szCs w:val="32"/>
          <w:u w:val="none"/>
          <w:lang w:val="en-US" w:eastAsia="zh-CN"/>
        </w:rPr>
      </w:pPr>
      <w:r>
        <w:rPr>
          <w:rFonts w:hint="default" w:ascii="Times New Roman" w:hAnsi="Times New Roman" w:eastAsia="方正楷体_GBK" w:cs="Times New Roman"/>
          <w:b/>
          <w:bCs/>
          <w:color w:val="auto"/>
          <w:kern w:val="0"/>
          <w:sz w:val="32"/>
          <w:szCs w:val="32"/>
          <w:u w:val="none"/>
          <w:lang w:val="en-US" w:eastAsia="zh-CN"/>
        </w:rPr>
        <w:t>（四）深化改革创新，增强发展活力</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color w:val="auto"/>
          <w:kern w:val="0"/>
          <w:sz w:val="32"/>
          <w:szCs w:val="32"/>
          <w:u w:val="none"/>
          <w:lang w:val="en-US" w:eastAsia="zh-CN"/>
        </w:rPr>
        <w:t>一是着力优化营商环境。</w:t>
      </w:r>
      <w:r>
        <w:rPr>
          <w:rFonts w:hint="default" w:ascii="Times New Roman" w:hAnsi="Times New Roman" w:eastAsia="方正仿宋_GBK" w:cs="Times New Roman"/>
          <w:snapToGrid w:val="0"/>
          <w:color w:val="auto"/>
          <w:sz w:val="32"/>
          <w:szCs w:val="32"/>
          <w:u w:val="none"/>
          <w:lang w:val="en-US" w:eastAsia="zh-CN"/>
        </w:rPr>
        <w:t>加快数字政府建设，推进数据资源应联尽联、信息共享，高效推动</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一网通办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。在</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少好快</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上下功夫，推进政务服务审批事项</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四减</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，提升</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蒙速办•四办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服务水平，全面推行</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一窗式</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综合受理改革，高效办成一件事，让企业和群众办事更加便捷、满意度更高，营商环境评价进入全市第一方阵。深化</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互联网+政务服务</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，完善24小时自助服务设施。全面推行市场准入负面清单制度，推动</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非禁即入</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普遍落实，制定</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个转企、小升规、规改股、股上市</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扶持政策，新增市场主体2000家以上。深化法治环境建设，健全以</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双随机、一公开</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监管和</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互联网+监管</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为基本手段、以重点监管为补充、以信用监管为基础的新型监管机制，严格执行行政执法</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三项制度</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，加强知识产权保护，让企业安心经营、放心投资、专心发展。落实国企改革三年行动方案，加速国有企业实体化转型，支持国有企业承担全区重大项目建设。</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default" w:ascii="Times New Roman" w:hAnsi="Times New Roman" w:cs="Times New Roman"/>
          <w:color w:val="auto"/>
          <w:u w:val="none"/>
          <w:lang w:val="en-US" w:eastAsia="zh-CN"/>
        </w:rPr>
      </w:pPr>
      <w:r>
        <w:rPr>
          <w:rFonts w:hint="default" w:ascii="Times New Roman" w:hAnsi="Times New Roman" w:eastAsia="方正仿宋_GBK" w:cs="Times New Roman"/>
          <w:b/>
          <w:bCs/>
          <w:color w:val="auto"/>
          <w:kern w:val="0"/>
          <w:sz w:val="32"/>
          <w:szCs w:val="32"/>
          <w:u w:val="none"/>
          <w:lang w:val="en-US" w:eastAsia="zh-CN"/>
        </w:rPr>
        <w:t>二是持续推进创新驱动。</w:t>
      </w:r>
      <w:r>
        <w:rPr>
          <w:rFonts w:hint="default" w:ascii="Times New Roman" w:hAnsi="Times New Roman" w:eastAsia="方正仿宋_GBK" w:cs="Times New Roman"/>
          <w:snapToGrid w:val="0"/>
          <w:color w:val="auto"/>
          <w:sz w:val="32"/>
          <w:szCs w:val="32"/>
          <w:u w:val="none"/>
          <w:lang w:val="en-US" w:eastAsia="zh-CN"/>
        </w:rPr>
        <w:t>认真落实</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科技兴蒙</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部署要求，搭建科技创新平台，深化</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产学研用</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合作，充分发挥创新对高质量发展的引领推动作用。突出企业创新主体地位，新增高新技术企业3家，自治区级以上创新平台2个。支持企业加大创新研发投入，积极争取国家、自治区重大科技专项计划，对接上海交大、内科大等高校，围绕电解铝、高纯铝、高纯氧化铝、稀土铝中间合金等领域，加快推进铝新材料研发和科研成果转化；支持创建包头中科智慧应急关键技术与装备研究院，加快推动科研成果形成应用场景。布局数字经济，引进网库集团合作打造单品数字产业平台，引进鑫方盛集团建设智能中心仓，与磁云数字科技共同成立包头数字科技研究院。</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u w:val="none"/>
          <w:lang w:val="en-US" w:eastAsia="zh-CN"/>
        </w:rPr>
      </w:pPr>
      <w:r>
        <w:rPr>
          <w:rFonts w:hint="default" w:ascii="Times New Roman" w:hAnsi="Times New Roman" w:eastAsia="方正仿宋_GBK" w:cs="Times New Roman"/>
          <w:b/>
          <w:bCs/>
          <w:color w:val="auto"/>
          <w:kern w:val="0"/>
          <w:sz w:val="32"/>
          <w:szCs w:val="32"/>
          <w:u w:val="none"/>
          <w:lang w:val="en-US" w:eastAsia="zh-CN"/>
        </w:rPr>
        <w:t>三是深化重点领域改革。</w:t>
      </w:r>
      <w:r>
        <w:rPr>
          <w:rFonts w:hint="default" w:ascii="Times New Roman" w:hAnsi="Times New Roman" w:eastAsia="方正仿宋_GBK" w:cs="Times New Roman"/>
          <w:snapToGrid w:val="0"/>
          <w:color w:val="auto"/>
          <w:sz w:val="32"/>
          <w:szCs w:val="32"/>
          <w:u w:val="none"/>
          <w:lang w:val="en-US" w:eastAsia="zh-CN"/>
        </w:rPr>
        <w:t>把握国家政策导向，谋划策划储备一批符合国家政策投向的高质量项目，全力争取地方政府专项债券、预算内资金、专项补助等上级各类资金支持，为推动项目建设、产业转型升级提供资金保障。深化金融</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保项目、入园区、进企业、下乡村</w:t>
      </w:r>
      <w:r>
        <w:rPr>
          <w:rFonts w:hint="eastAsia" w:ascii="Times New Roman" w:hAnsi="Times New Roman" w:eastAsia="方正仿宋_GBK" w:cs="Times New Roman"/>
          <w:snapToGrid w:val="0"/>
          <w:color w:val="auto"/>
          <w:sz w:val="32"/>
          <w:szCs w:val="32"/>
          <w:u w:val="none"/>
          <w:lang w:val="en-US" w:eastAsia="zh-CN"/>
        </w:rPr>
        <w:t>”</w:t>
      </w:r>
      <w:r>
        <w:rPr>
          <w:rFonts w:hint="default" w:ascii="Times New Roman" w:hAnsi="Times New Roman" w:eastAsia="方正仿宋_GBK" w:cs="Times New Roman"/>
          <w:snapToGrid w:val="0"/>
          <w:color w:val="auto"/>
          <w:sz w:val="32"/>
          <w:szCs w:val="32"/>
          <w:u w:val="none"/>
          <w:lang w:val="en-US" w:eastAsia="zh-CN"/>
        </w:rPr>
        <w:t>工作机制，为重点项目寻求更多更大资金支持。丰富金融业态，对接平安银行、浙商银行在我区开设分支机构，推动内蒙古银行在东河选址。有效防范化解财政金融风险，多举措稳妥化解存量隐性债务，牢牢守住不新增隐性债务红线。加大银行不良贷款化解力度，严厉打击非法集资及各类非法金融活动，牢牢守住不发生区域性、系统性金融风险的底线。</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snapToGrid w:val="0"/>
          <w:color w:val="auto"/>
          <w:sz w:val="32"/>
          <w:szCs w:val="32"/>
          <w:u w:val="none"/>
          <w:lang w:val="en-US" w:eastAsia="zh-CN"/>
        </w:rPr>
        <w:t>（五）</w:t>
      </w:r>
      <w:r>
        <w:rPr>
          <w:rFonts w:hint="default" w:ascii="Times New Roman" w:hAnsi="Times New Roman" w:eastAsia="方正楷体_GBK" w:cs="Times New Roman"/>
          <w:b/>
          <w:bCs/>
          <w:color w:val="auto"/>
          <w:kern w:val="0"/>
          <w:sz w:val="32"/>
          <w:szCs w:val="32"/>
          <w:u w:val="none"/>
          <w:lang w:val="en-US" w:eastAsia="zh-CN"/>
        </w:rPr>
        <w:t>加快现代化中心城区建设，提升综合承载能力</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cs="Times New Roman"/>
          <w:color w:val="auto"/>
          <w:u w:val="none"/>
          <w:lang w:val="en-US" w:eastAsia="zh-CN"/>
        </w:rPr>
      </w:pPr>
      <w:r>
        <w:rPr>
          <w:rFonts w:hint="default" w:ascii="Times New Roman" w:hAnsi="Times New Roman" w:eastAsia="方正仿宋_GBK" w:cs="Times New Roman"/>
          <w:b/>
          <w:bCs/>
          <w:color w:val="auto"/>
          <w:kern w:val="0"/>
          <w:sz w:val="32"/>
          <w:szCs w:val="32"/>
          <w:u w:val="none"/>
          <w:lang w:val="en-US" w:eastAsia="zh-CN"/>
        </w:rPr>
        <w:t>一是推动城市建设提质。</w:t>
      </w:r>
      <w:r>
        <w:rPr>
          <w:rFonts w:hint="default" w:ascii="Times New Roman" w:hAnsi="Times New Roman" w:eastAsia="方正仿宋_GBK" w:cs="Times New Roman"/>
          <w:color w:val="auto"/>
          <w:sz w:val="32"/>
          <w:szCs w:val="32"/>
          <w:u w:val="none"/>
          <w:lang w:val="en-US" w:eastAsia="zh-CN"/>
        </w:rPr>
        <w:t>全力推进城市有机更新，制定出台《包头市东河区城市更新实施方案（2021-2025年）》，全力推进城市有机更新，启动一期“一湖、一街区、两河、五片区”建设，打造铁西、东站等五个示范片区，完成老旧小区改造81个。实施北一街、西河东路等5条道路和雨污管线综合改造，打通站北路、耐火厂路、地毯厂路，完成包伊公路雨水泵站建设。新建停车场2处，新建固定式公厕29座、改造公厕24座。启动建设城垣公园、奥宇公园，提档升级人民公园，新建“口袋公园”、小微绿地10处。深化“街长制+门前三包+网格化治理”机制，深入推进“三个100”提升工程，完成25条背街小巷整治，全面清除存量违法建设，坚决遏制增量。实现居民小区标准化物业管理全覆盖，全面启动环卫市场化改革，常态化巩固文明城市、卫生城市创建成果。</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bCs/>
          <w:color w:val="auto"/>
          <w:kern w:val="0"/>
          <w:sz w:val="32"/>
          <w:szCs w:val="32"/>
          <w:u w:val="none"/>
          <w:lang w:val="en-US" w:eastAsia="zh-CN"/>
        </w:rPr>
        <w:t>二是全面实施乡村振兴战略。</w:t>
      </w:r>
      <w:r>
        <w:rPr>
          <w:rFonts w:hint="default" w:ascii="Times New Roman" w:hAnsi="Times New Roman" w:eastAsia="方正仿宋_GBK" w:cs="Times New Roman"/>
          <w:color w:val="auto"/>
          <w:sz w:val="32"/>
          <w:szCs w:val="32"/>
          <w:u w:val="none"/>
          <w:lang w:val="en-US" w:eastAsia="zh-CN"/>
        </w:rPr>
        <w:t>推动乡村生态振兴，深入推进农村人居环境整治，统筹农村污水治理和厕所革命衔接，分步推进臭水井、留宝窑、章盖营子、东坝村等15个村污水处理设施及配套管线建设。推进农业废弃物处理与资源化利用，新建2个年处理能力30万吨的秸秆集中处理中心，完成38户规模养殖场粪污处理标准化改造，秸秆综合利用率达到86%，畜禽粪污综合利用率达到95%以上。加快完善乡村基础设施，实施农村公路安全生命防护、沙尔沁沟渠水系治理和防洪工程，实施黑麻板、王大汉、工农村等9个村饮水安全工程</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推动乡村产业振兴，以沙尔沁镇沿山、沿路、沿黄区域为重点，通过连片开发形成区域特色产业区，以集体经济强村带动薄弱村，形成连片富裕、成片发展的产业集聚效应。大力推进移风易俗，进一步形成文明乡风、良好家风、淳朴民风。</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楷体_GBK" w:cs="Times New Roman"/>
          <w:b/>
          <w:bCs/>
          <w:color w:val="auto"/>
          <w:kern w:val="0"/>
          <w:sz w:val="32"/>
          <w:szCs w:val="32"/>
          <w:u w:val="none"/>
        </w:rPr>
      </w:pPr>
      <w:r>
        <w:rPr>
          <w:rFonts w:hint="default" w:ascii="Times New Roman" w:hAnsi="Times New Roman" w:eastAsia="方正楷体_GBK" w:cs="Times New Roman"/>
          <w:b/>
          <w:bCs/>
          <w:color w:val="auto"/>
          <w:kern w:val="0"/>
          <w:sz w:val="32"/>
          <w:szCs w:val="32"/>
          <w:u w:val="none"/>
          <w:lang w:val="en-US" w:eastAsia="zh-CN"/>
        </w:rPr>
        <w:t>（六）强化民生保障，增进人民福祉</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snapToGrid w:val="0"/>
          <w:color w:val="auto"/>
          <w:sz w:val="32"/>
          <w:szCs w:val="32"/>
          <w:highlight w:val="none"/>
          <w:u w:val="none"/>
          <w:lang w:val="en-US" w:eastAsia="zh-CN"/>
        </w:rPr>
      </w:pPr>
      <w:r>
        <w:rPr>
          <w:rFonts w:hint="default" w:ascii="Times New Roman" w:hAnsi="Times New Roman" w:eastAsia="方正仿宋_GBK" w:cs="Times New Roman"/>
          <w:b/>
          <w:bCs/>
          <w:color w:val="auto"/>
          <w:kern w:val="0"/>
          <w:sz w:val="32"/>
          <w:szCs w:val="32"/>
          <w:highlight w:val="none"/>
          <w:u w:val="none"/>
          <w:lang w:val="en-US" w:eastAsia="zh-CN"/>
        </w:rPr>
        <w:t>一是深入实施就业优先战略。</w:t>
      </w:r>
      <w:r>
        <w:rPr>
          <w:rFonts w:hint="default" w:ascii="Times New Roman" w:hAnsi="Times New Roman" w:eastAsia="方正仿宋_GBK" w:cs="Times New Roman"/>
          <w:snapToGrid w:val="0"/>
          <w:color w:val="auto"/>
          <w:sz w:val="32"/>
          <w:szCs w:val="32"/>
          <w:highlight w:val="none"/>
          <w:u w:val="none"/>
          <w:lang w:val="en-US" w:eastAsia="zh-CN"/>
        </w:rPr>
        <w:t>落实就业优先战略和积极就业政策，坚决守住重点群体就业的基本盘，突出抓好高校毕业生、农民工、退役军人等重点群体就业，统筹做好公益性岗位开发、应急性岗位安置等工作，确保零就业家庭动态清零，力争全年城镇新增就业1万人，城镇登记失业率控制在3.9%以内。健全公共就业服务体系和失业预测预警机制，抓好就业创业、职业技能培训、街镇基层公共就业创业服务平台建设，强化就业供需服务，构建政策推送准、服务质量优、群众获得感强的全方位公共就业服务体系。坚持创业带动就业，积极申报自治区级创业园孵化基地，加大对初创实体支持力度，提供创业担保贷款、创业园孵化基地等创业政策和载体，放大就业倍增效应。加强校企合作，深化新型学徒制企业用工培养机制，有效破解企业招工结构性矛盾。充分发挥包头人力资本产业园以及人力资源服务机构在市场化双招双引的重要作用，建立产业发展与人才供求匹配机制，促进人才的市场性流动和引导性流动。</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bCs/>
          <w:color w:val="auto"/>
          <w:kern w:val="0"/>
          <w:sz w:val="32"/>
          <w:szCs w:val="32"/>
          <w:highlight w:val="none"/>
          <w:u w:val="none"/>
          <w:lang w:val="en-US" w:eastAsia="zh-CN"/>
        </w:rPr>
      </w:pPr>
      <w:r>
        <w:rPr>
          <w:rFonts w:hint="default" w:ascii="Times New Roman" w:hAnsi="Times New Roman" w:eastAsia="方正仿宋_GBK" w:cs="Times New Roman"/>
          <w:b/>
          <w:bCs/>
          <w:color w:val="auto"/>
          <w:kern w:val="0"/>
          <w:sz w:val="32"/>
          <w:szCs w:val="32"/>
          <w:highlight w:val="none"/>
          <w:u w:val="none"/>
          <w:lang w:val="en-US" w:eastAsia="zh-CN"/>
        </w:rPr>
        <w:t>二是构建多层次社会保障体系。</w:t>
      </w:r>
      <w:r>
        <w:rPr>
          <w:rFonts w:hint="default" w:ascii="Times New Roman" w:hAnsi="Times New Roman" w:eastAsia="方正仿宋_GBK" w:cs="Times New Roman"/>
          <w:snapToGrid w:val="0"/>
          <w:color w:val="auto"/>
          <w:sz w:val="32"/>
          <w:szCs w:val="32"/>
          <w:highlight w:val="none"/>
          <w:u w:val="none"/>
          <w:lang w:val="en-US" w:eastAsia="zh-CN"/>
        </w:rPr>
        <w:t>深入实施全民参保计划，推动城乡基本医疗保险全覆盖，落实放开灵活就业人员在就业地参加社会保险的户籍限制和户口性质的政策，鼓励有意愿、有缴费能力的灵活就业人员以及新就业形态从业人员等参加企业职工基本养老保险；提升医疗服务与保障能力补助资金，落实对缴费困难群体帮扶政策，推动城乡居民基本养老保险适龄参保人员应保尽保。推动工伤保险政策向新就业形态从业人员覆盖。健全与基本养老保险全国统筹以及失业、工伤保险自治区统筹相适应的经办体制，健全基金预测预警制度，巩固社保基金管理问题专项整治成果，建立健全内部风险管理制约机制，确保基金安全运行。推动医疗保障扶贫政策全部实现先诊疗、后付费、一站式结算，持续对建档立卡贫困户实施动态管理机制，做到脱贫不脱政策，坚决防止出现返贫现象。争取社会救助资金900万元以上，加大对低保对象、特困供养人员、优抚对象、军烈属等特殊群体的帮扶救助力度，全力保障好困难群众的基本生活。推进示范型退役军人服务站建设，创建退役军人就业孵化基地，做好退役军人安置工作。加强保障性住房建设，推进二里半安置房及配套基础设施建设项目实施。提升劳动监察执法效能，实现基本无欠薪工作目标。保护妇女儿童合法权益，大力发展慈善、社会福利、残疾人等事业。</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方正仿宋_GBK" w:cs="Times New Roman"/>
          <w:b/>
          <w:bCs/>
          <w:snapToGrid w:val="0"/>
          <w:color w:val="auto"/>
          <w:sz w:val="32"/>
          <w:szCs w:val="32"/>
          <w:highlight w:val="none"/>
          <w:u w:val="none"/>
          <w:lang w:val="en-US" w:eastAsia="zh-CN"/>
        </w:rPr>
        <w:t>三是坚持教育优先发展。</w:t>
      </w:r>
      <w:r>
        <w:rPr>
          <w:rFonts w:hint="default" w:ascii="Times New Roman" w:hAnsi="Times New Roman" w:eastAsia="方正仿宋_GBK" w:cs="Times New Roman"/>
          <w:snapToGrid w:val="0"/>
          <w:color w:val="auto"/>
          <w:sz w:val="32"/>
          <w:szCs w:val="32"/>
          <w:highlight w:val="none"/>
          <w:u w:val="none"/>
          <w:lang w:val="en-US" w:eastAsia="zh-CN"/>
        </w:rPr>
        <w:t>持续优化教育资源布局，出台《东河地区十四五基础教育布局规划（2021</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2025年）》，建成投用回民小学、实验小学绿地校区和西脑包幼儿园、复生园幼儿园；新建井坪中学、铁路中学，启动实施包八中、包二十八中等4所学校操场维修改造项目，弥补城区教育基础设施短板。加强校长队伍建设，面向社会招聘知名教育专家、退休名校长来我区任职；推行校长组阁制，通过内部推选、外部选派、竞争（聘）上岗、公开选拔（聘）等方式选聘优秀校长。加强教师队伍建设，继续通过引进人才和公开招聘的方式，将更多优秀教育人才补充到我区教师队伍中；加强乡村教师队伍建设，提高乡村教师生活补贴标准。实施教师绩效工资改革，出台《东河区教师奖励性绩效工资实施方案》，激励广大教师积极主动做好教育教学工作。深化教育教学改革，全面落实</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双减</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政策，进一步完善课后服务体系，深入推进校外培训机构整治，促进中小学生健康成长。</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90" w:lineRule="exact"/>
        <w:ind w:left="0" w:leftChars="0" w:firstLine="643" w:firstLineChars="200"/>
        <w:textAlignment w:val="auto"/>
        <w:rPr>
          <w:rFonts w:hint="default" w:ascii="Times New Roman" w:hAnsi="Times New Roman" w:eastAsia="方正仿宋_GBK" w:cs="Times New Roman"/>
          <w:snapToGrid w:val="0"/>
          <w:color w:val="auto"/>
          <w:sz w:val="32"/>
          <w:szCs w:val="32"/>
          <w:highlight w:val="none"/>
          <w:u w:val="none"/>
          <w:lang w:val="en-US" w:eastAsia="zh-CN"/>
        </w:rPr>
      </w:pPr>
      <w:r>
        <w:rPr>
          <w:rFonts w:hint="default" w:ascii="Times New Roman" w:hAnsi="Times New Roman" w:eastAsia="方正仿宋_GBK" w:cs="Times New Roman"/>
          <w:b/>
          <w:bCs/>
          <w:snapToGrid w:val="0"/>
          <w:color w:val="auto"/>
          <w:sz w:val="32"/>
          <w:szCs w:val="32"/>
          <w:highlight w:val="none"/>
          <w:u w:val="none"/>
          <w:lang w:val="en-US" w:eastAsia="zh-CN"/>
        </w:rPr>
        <w:t>四是推进健康东河建设。</w:t>
      </w:r>
      <w:r>
        <w:rPr>
          <w:rFonts w:hint="default" w:ascii="Times New Roman" w:hAnsi="Times New Roman" w:eastAsia="方正仿宋_GBK" w:cs="Times New Roman"/>
          <w:snapToGrid w:val="0"/>
          <w:color w:val="auto"/>
          <w:sz w:val="32"/>
          <w:szCs w:val="32"/>
          <w:highlight w:val="none"/>
          <w:u w:val="none"/>
          <w:lang w:val="en-US" w:eastAsia="zh-CN"/>
        </w:rPr>
        <w:t>认真落实《健康包头行动实施方案》，分阶段实施推进</w:t>
      </w:r>
      <w:r>
        <w:rPr>
          <w:rFonts w:hint="eastAsia" w:ascii="Times New Roman" w:hAnsi="Times New Roman" w:eastAsia="方正仿宋_GBK" w:cs="Times New Roman"/>
          <w:snapToGrid w:val="0"/>
          <w:color w:val="auto"/>
          <w:sz w:val="32"/>
          <w:szCs w:val="32"/>
          <w:highlight w:val="none"/>
          <w:u w:val="none"/>
          <w:lang w:val="en-US" w:eastAsia="zh-CN"/>
        </w:rPr>
        <w:t>健康</w:t>
      </w:r>
      <w:r>
        <w:rPr>
          <w:rFonts w:hint="default" w:ascii="Times New Roman" w:hAnsi="Times New Roman" w:eastAsia="方正仿宋_GBK" w:cs="Times New Roman"/>
          <w:snapToGrid w:val="0"/>
          <w:color w:val="auto"/>
          <w:sz w:val="32"/>
          <w:szCs w:val="32"/>
          <w:highlight w:val="none"/>
          <w:u w:val="none"/>
          <w:lang w:val="en-US" w:eastAsia="zh-CN"/>
        </w:rPr>
        <w:t>东河17</w:t>
      </w:r>
      <w:r>
        <w:rPr>
          <w:rFonts w:hint="eastAsia" w:ascii="Times New Roman" w:hAnsi="Times New Roman" w:eastAsia="方正仿宋_GBK" w:cs="Times New Roman"/>
          <w:snapToGrid w:val="0"/>
          <w:color w:val="auto"/>
          <w:sz w:val="32"/>
          <w:szCs w:val="32"/>
          <w:highlight w:val="none"/>
          <w:u w:val="none"/>
          <w:lang w:val="en-US" w:eastAsia="zh-CN"/>
        </w:rPr>
        <w:t>个</w:t>
      </w:r>
      <w:r>
        <w:rPr>
          <w:rFonts w:hint="default" w:ascii="Times New Roman" w:hAnsi="Times New Roman" w:eastAsia="方正仿宋_GBK" w:cs="Times New Roman"/>
          <w:snapToGrid w:val="0"/>
          <w:color w:val="auto"/>
          <w:sz w:val="32"/>
          <w:szCs w:val="32"/>
          <w:highlight w:val="none"/>
          <w:u w:val="none"/>
          <w:lang w:val="en-US" w:eastAsia="zh-CN"/>
        </w:rPr>
        <w:t>专项行动，全区居民健康素养水平提升到22%。深入开展爱国卫生运动，落实长效管理。进一步改善基层医疗条件，实施区中医院、中西医结合医院、围产中心建设，搭建医疗废水处置监管平台。加强与包头医学院、包头中药</w:t>
      </w:r>
      <w:r>
        <w:rPr>
          <w:rFonts w:hint="eastAsia" w:ascii="Times New Roman" w:hAnsi="Times New Roman" w:eastAsia="方正仿宋_GBK" w:cs="Times New Roman"/>
          <w:snapToGrid w:val="0"/>
          <w:color w:val="auto"/>
          <w:sz w:val="32"/>
          <w:szCs w:val="32"/>
          <w:highlight w:val="none"/>
          <w:u w:val="none"/>
          <w:lang w:val="en-US" w:eastAsia="zh-CN"/>
        </w:rPr>
        <w:t>厂</w:t>
      </w:r>
      <w:r>
        <w:rPr>
          <w:rFonts w:hint="default" w:ascii="Times New Roman" w:hAnsi="Times New Roman" w:eastAsia="方正仿宋_GBK" w:cs="Times New Roman"/>
          <w:snapToGrid w:val="0"/>
          <w:color w:val="auto"/>
          <w:sz w:val="32"/>
          <w:szCs w:val="32"/>
          <w:highlight w:val="none"/>
          <w:u w:val="none"/>
          <w:lang w:val="en-US" w:eastAsia="zh-CN"/>
        </w:rPr>
        <w:t>对接合作，打造产学研一体化平台，推动中医药产业提质升级。全面落实计划生育惠民政策和计划生育特殊家庭帮扶制度，推动3孩生育政策落地。深化医药卫生体制改革，强化医疗专业技术人才引进和培养，推动中医药（蒙医药）保护传承和创新发展，建设乔家金街中医药文化街区。积极应对人口老龄化，持续开展医养结合建设，推进养老机构与驻区、区属医院签署医养结合服务协议，实施2家医养结合和1家农村普惠养老项目，提升居家和社区养老服务质量，完成适老化改造70户，社区养老服务站覆盖率达到90%。</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snapToGrid w:val="0"/>
          <w:color w:val="auto"/>
          <w:sz w:val="32"/>
          <w:szCs w:val="32"/>
          <w:highlight w:val="none"/>
          <w:u w:val="none"/>
          <w:lang w:val="en-US" w:eastAsia="zh-CN"/>
        </w:rPr>
      </w:pPr>
      <w:r>
        <w:rPr>
          <w:rFonts w:hint="default" w:ascii="Times New Roman" w:hAnsi="Times New Roman" w:eastAsia="方正仿宋_GBK" w:cs="Times New Roman"/>
          <w:b/>
          <w:bCs/>
          <w:snapToGrid w:val="0"/>
          <w:color w:val="auto"/>
          <w:sz w:val="32"/>
          <w:szCs w:val="32"/>
          <w:highlight w:val="none"/>
          <w:u w:val="none"/>
          <w:lang w:val="en-US" w:eastAsia="zh-CN"/>
        </w:rPr>
        <w:t>五是推动公共文化服务升级。</w:t>
      </w:r>
      <w:r>
        <w:rPr>
          <w:rFonts w:hint="default" w:ascii="Times New Roman" w:hAnsi="Times New Roman" w:eastAsia="方正仿宋_GBK" w:cs="Times New Roman"/>
          <w:color w:val="auto"/>
          <w:sz w:val="32"/>
          <w:szCs w:val="32"/>
          <w:u w:val="none"/>
          <w:lang w:val="en-US" w:eastAsia="zh-CN"/>
        </w:rPr>
        <w:t>实施文</w:t>
      </w:r>
      <w:r>
        <w:rPr>
          <w:rFonts w:hint="default" w:ascii="Times New Roman" w:hAnsi="Times New Roman" w:eastAsia="方正仿宋_GBK" w:cs="Times New Roman"/>
          <w:snapToGrid w:val="0"/>
          <w:color w:val="auto"/>
          <w:sz w:val="32"/>
          <w:szCs w:val="32"/>
          <w:highlight w:val="none"/>
          <w:u w:val="none"/>
          <w:lang w:val="en-US" w:eastAsia="zh-CN"/>
        </w:rPr>
        <w:t>化惠民工程，推进新时代业余乌兰牧骑建设，办好</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西口</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文化艺术节、老包头庙会（灯会）、南海湿地冰雪节等品牌节庆活动，开展文化惠民活动400场以上。加强全民健身公共服务设施建设，举办群众性体育赛事15项以上，实施南海体育公园项目，建设社区全民健身中心2处，不断提升公共文化产品和服务供给水平。深入挖掘民族民俗文化、促进非遗传承发展，支持建设包头剪纸展陈基地、非遗手工业街区、传统医药文化街区等。推进文化资源与旅游业态深度融合，组建包头</w:t>
      </w:r>
      <w:r>
        <w:rPr>
          <w:rFonts w:hint="default" w:ascii="Times New Roman" w:hAnsi="Times New Roman" w:eastAsia="方正仿宋_GBK" w:cs="Times New Roman"/>
          <w:color w:val="auto"/>
          <w:sz w:val="32"/>
          <w:szCs w:val="32"/>
          <w:u w:val="none"/>
          <w:lang w:val="en-US" w:eastAsia="zh-CN"/>
        </w:rPr>
        <w:t>市南海文化旅游投资集团有限公司，打造</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融、投、建、管</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一体化运作平台；围绕建设2.3平方公里包头古城风貌区，推动</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包头•福巷</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项目竣工，实施乔家金街提档升级工程，创设包头老城慢生活体验场景，增加</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烟火气</w:t>
      </w:r>
      <w:r>
        <w:rPr>
          <w:rFonts w:hint="eastAsia" w:ascii="Times New Roman" w:hAnsi="Times New Roman" w:eastAsia="方正仿宋_GBK" w:cs="Times New Roman"/>
          <w:snapToGrid w:val="0"/>
          <w:color w:val="auto"/>
          <w:sz w:val="32"/>
          <w:szCs w:val="32"/>
          <w:highlight w:val="none"/>
          <w:u w:val="none"/>
          <w:lang w:val="en-US" w:eastAsia="zh-CN"/>
        </w:rPr>
        <w:t>”</w:t>
      </w:r>
      <w:r>
        <w:rPr>
          <w:rFonts w:hint="default" w:ascii="Times New Roman" w:hAnsi="Times New Roman" w:eastAsia="方正仿宋_GBK" w:cs="Times New Roman"/>
          <w:snapToGrid w:val="0"/>
          <w:color w:val="auto"/>
          <w:sz w:val="32"/>
          <w:szCs w:val="32"/>
          <w:highlight w:val="none"/>
          <w:u w:val="none"/>
          <w:lang w:val="en-US" w:eastAsia="zh-CN"/>
        </w:rPr>
        <w:t>和感性消费；推进北梁19处古民居开发保护利用，整合中共包头市委旧址、福徵寺为代表的红色旅游资源，建设一批红色文化基地，打造一条红色旅游线路。</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default" w:ascii="Times New Roman" w:hAnsi="Times New Roman" w:eastAsia="方正仿宋_GBK" w:cs="Times New Roman"/>
          <w:b/>
          <w:bCs/>
          <w:snapToGrid w:val="0"/>
          <w:color w:val="auto"/>
          <w:sz w:val="32"/>
          <w:szCs w:val="32"/>
          <w:highlight w:val="none"/>
          <w:u w:val="none"/>
          <w:lang w:val="en-US" w:eastAsia="zh-CN"/>
        </w:rPr>
        <w:t>六是提高社会治理水平。</w:t>
      </w:r>
      <w:r>
        <w:rPr>
          <w:rFonts w:hint="default" w:ascii="Times New Roman" w:hAnsi="Times New Roman" w:eastAsia="方正仿宋_GBK" w:cs="Times New Roman"/>
          <w:b w:val="0"/>
          <w:bCs w:val="0"/>
          <w:color w:val="auto"/>
          <w:kern w:val="0"/>
          <w:sz w:val="32"/>
          <w:szCs w:val="32"/>
          <w:u w:val="none"/>
          <w:lang w:val="en-US" w:eastAsia="zh-CN"/>
        </w:rPr>
        <w:t>推进平安建设，常态化开展扫黑除恶斗争，严打各类违法犯罪，坚决遏制</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电网诈</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案件多发势头，加强社会面防控和重点人群管理，持续开展网络安全宣传教育。深入推进安全生产专项整治三年行动，加强重点行业领域的安全监管，进一步压实企业安全生产主体责任，坚决遏制较大及以上事故；加强应急能力现代化建设，扎实开展自然灾害风险普查，提高抢险救援和防灾减灾能力。认真贯彻</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四个最严</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要求，依法严厉打击食品药品违法犯罪行为，开展线上线下网络餐饮服务食品专项治理行动，保障人民群众饮食用药安全。扎实推进市域社会治理现代化，健全网格化治理体系，完善基层协商议事机制，引导居民有序参与社区治理。坚决巩固疫情防控成果，持续抓好新冠肺炎疫情常态化防控，坚持</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人、物</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同防，重点推进新冠疫苗接种，配套建设核酸检测方舱，提升全员核酸检测能力。运用常态化机制解决信访突出问题，推动初次信访事项化解率、群众满意率达到90%以上。全力做好冬奥会、冬残奥会、全国“两会”、党的二十大等重要节点的服务保障工作。全面贯彻落实党的民族政策，深入开展民族团结进步创建活动，牢固树立</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三个离不开</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五个认同</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思想，全面铸牢中华民族共同体意识。</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default" w:ascii="Times New Roman" w:hAnsi="Times New Roman" w:eastAsia="方正仿宋_GBK" w:cs="Times New Roman"/>
          <w:snapToGrid w:val="0"/>
          <w:color w:val="auto"/>
          <w:sz w:val="32"/>
          <w:szCs w:val="32"/>
          <w:highlight w:val="none"/>
          <w:u w:val="none"/>
          <w:lang w:val="en-US" w:eastAsia="zh-CN"/>
        </w:rPr>
        <w:t>在做好以上工作的同时，我们还要更进一</w:t>
      </w:r>
      <w:r>
        <w:rPr>
          <w:rFonts w:hint="default" w:ascii="Times New Roman" w:hAnsi="Times New Roman" w:eastAsia="方正仿宋_GBK" w:cs="Times New Roman"/>
          <w:b w:val="0"/>
          <w:bCs w:val="0"/>
          <w:color w:val="auto"/>
          <w:kern w:val="0"/>
          <w:sz w:val="32"/>
          <w:szCs w:val="32"/>
          <w:u w:val="none"/>
          <w:lang w:val="en-US" w:eastAsia="zh-CN"/>
        </w:rPr>
        <w:t>步做好</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八五普法</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、第七次全国人口普查数据开发和普查成果应用、人民武装、总工会、共青团、工商联、红十字会、关心下一代、人事、审计、档案史志等各方面工作，实现平衡、充分、协调发展。</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仿宋_GBK" w:cs="Times New Roman"/>
          <w:b w:val="0"/>
          <w:bCs w:val="0"/>
          <w:color w:val="auto"/>
          <w:kern w:val="0"/>
          <w:sz w:val="32"/>
          <w:szCs w:val="32"/>
          <w:u w:val="none"/>
          <w:lang w:val="en-US" w:eastAsia="zh-CN"/>
        </w:rPr>
        <w:t>各位代表，做好2022年经济社会发展工作任务艰巨、责任重大，我们要在区委的坚强领导下，在区人大及其常委会的监督指导下，立足新发展阶段，贯彻新发展理念，融入新发展格局，不负殷切嘱托，强化使命担当，持续做好</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六稳</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工作、落实</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六保</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任务，保持经济持续健康发展，以优异成绩迎接党的二十大胜利召开！</w:t>
      </w: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_GBK" w:cs="Times New Roman"/>
          <w:color w:val="auto"/>
          <w:sz w:val="44"/>
          <w:szCs w:val="44"/>
          <w:u w:val="none"/>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_GBK" w:cs="Times New Roman"/>
          <w:color w:val="auto"/>
          <w:sz w:val="44"/>
          <w:szCs w:val="44"/>
          <w:u w:val="none"/>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_GBK" w:cs="Times New Roman"/>
          <w:color w:val="auto"/>
          <w:sz w:val="44"/>
          <w:szCs w:val="44"/>
          <w:u w:val="none"/>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rPr>
        <w:t>名 词 解 释</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1. 六稳六保：</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六稳</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指的是稳就业、稳金融、稳外贸、稳外资、稳预期；</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六保</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指的是保居民就业、保基本民生、保市场主体、保粮食能源安全、保产业链供应稳定</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保基层运转。</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2. 两品一标：</w:t>
      </w:r>
      <w:r>
        <w:rPr>
          <w:rFonts w:hint="default" w:ascii="Times New Roman" w:hAnsi="Times New Roman" w:eastAsia="方正仿宋_GBK" w:cs="Times New Roman"/>
          <w:color w:val="auto"/>
          <w:sz w:val="32"/>
          <w:szCs w:val="32"/>
          <w:u w:val="none"/>
        </w:rPr>
        <w:t>绿色食品、有机农产品和农产品地理标志。</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rPr>
      </w:pPr>
      <w:r>
        <w:rPr>
          <w:rFonts w:hint="default" w:ascii="Times New Roman" w:hAnsi="Times New Roman" w:eastAsia="方正仿宋_GBK" w:cs="Times New Roman"/>
          <w:b/>
          <w:color w:val="auto"/>
          <w:sz w:val="32"/>
          <w:szCs w:val="32"/>
          <w:u w:val="none"/>
        </w:rPr>
        <w:t xml:space="preserve">3. </w:t>
      </w:r>
      <w:r>
        <w:rPr>
          <w:rFonts w:hint="default" w:ascii="Times New Roman" w:hAnsi="Times New Roman" w:eastAsia="方正仿宋_GBK" w:cs="Times New Roman"/>
          <w:b/>
          <w:color w:val="auto"/>
          <w:kern w:val="2"/>
          <w:sz w:val="32"/>
          <w:szCs w:val="32"/>
          <w:u w:val="none"/>
          <w:lang w:val="en-US" w:eastAsia="zh-CN" w:bidi="ar-SA"/>
        </w:rPr>
        <w:t>三类500强：</w:t>
      </w:r>
      <w:r>
        <w:rPr>
          <w:rFonts w:hint="default" w:ascii="Times New Roman" w:hAnsi="Times New Roman" w:eastAsia="方正仿宋_GBK" w:cs="Times New Roman"/>
          <w:b w:val="0"/>
          <w:bCs w:val="0"/>
          <w:color w:val="auto"/>
          <w:kern w:val="0"/>
          <w:sz w:val="32"/>
          <w:szCs w:val="32"/>
          <w:u w:val="none"/>
          <w:lang w:val="en-US" w:eastAsia="zh-CN"/>
        </w:rPr>
        <w:t>是指世界财富500强、中国企业500强和民营企业500强。</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Times New Roman" w:hAnsi="Times New Roman" w:eastAsia="方正仿宋_GBK" w:cs="Times New Roman"/>
          <w:b/>
          <w:color w:val="auto"/>
          <w:sz w:val="32"/>
          <w:szCs w:val="32"/>
          <w:u w:val="none"/>
          <w:lang w:eastAsia="zh-CN"/>
        </w:rPr>
      </w:pPr>
      <w:r>
        <w:rPr>
          <w:rFonts w:hint="default" w:ascii="Times New Roman" w:hAnsi="Times New Roman" w:eastAsia="方正仿宋_GBK" w:cs="Times New Roman"/>
          <w:b/>
          <w:color w:val="auto"/>
          <w:sz w:val="32"/>
          <w:szCs w:val="32"/>
          <w:u w:val="none"/>
        </w:rPr>
        <w:t>4.</w:t>
      </w:r>
      <w:r>
        <w:rPr>
          <w:rFonts w:hint="default" w:ascii="Times New Roman" w:hAnsi="Times New Roman" w:eastAsia="方正仿宋_GBK" w:cs="Times New Roman"/>
          <w:b/>
          <w:color w:val="auto"/>
          <w:sz w:val="32"/>
          <w:szCs w:val="32"/>
          <w:u w:val="none"/>
          <w:lang w:val="en-US" w:eastAsia="zh-CN"/>
        </w:rPr>
        <w:t xml:space="preserve"> </w:t>
      </w:r>
      <w:r>
        <w:rPr>
          <w:rFonts w:hint="default" w:ascii="Times New Roman" w:hAnsi="Times New Roman" w:eastAsia="方正仿宋_GBK" w:cs="Times New Roman"/>
          <w:b/>
          <w:color w:val="auto"/>
          <w:sz w:val="32"/>
          <w:szCs w:val="32"/>
          <w:u w:val="none"/>
        </w:rPr>
        <w:t>河湖库</w:t>
      </w:r>
      <w:r>
        <w:rPr>
          <w:rFonts w:hint="eastAsia" w:ascii="Times New Roman" w:hAnsi="Times New Roman" w:eastAsia="方正仿宋_GBK" w:cs="Times New Roman"/>
          <w:b/>
          <w:color w:val="auto"/>
          <w:sz w:val="32"/>
          <w:szCs w:val="32"/>
          <w:u w:val="none"/>
          <w:lang w:eastAsia="zh-CN"/>
        </w:rPr>
        <w:t>“</w:t>
      </w:r>
      <w:r>
        <w:rPr>
          <w:rFonts w:hint="default" w:ascii="Times New Roman" w:hAnsi="Times New Roman" w:eastAsia="方正仿宋_GBK" w:cs="Times New Roman"/>
          <w:b/>
          <w:color w:val="auto"/>
          <w:sz w:val="32"/>
          <w:szCs w:val="32"/>
          <w:u w:val="none"/>
        </w:rPr>
        <w:t>清四乱</w:t>
      </w:r>
      <w:r>
        <w:rPr>
          <w:rFonts w:hint="eastAsia" w:ascii="Times New Roman" w:hAnsi="Times New Roman" w:eastAsia="方正仿宋_GBK" w:cs="Times New Roman"/>
          <w:b/>
          <w:color w:val="auto"/>
          <w:sz w:val="32"/>
          <w:szCs w:val="32"/>
          <w:u w:val="none"/>
          <w:lang w:eastAsia="zh-CN"/>
        </w:rPr>
        <w:t>”</w:t>
      </w:r>
      <w:r>
        <w:rPr>
          <w:rFonts w:hint="default" w:ascii="Times New Roman" w:hAnsi="Times New Roman" w:eastAsia="方正仿宋_GBK" w:cs="Times New Roman"/>
          <w:b/>
          <w:color w:val="auto"/>
          <w:sz w:val="32"/>
          <w:szCs w:val="32"/>
          <w:u w:val="none"/>
        </w:rPr>
        <w:t>：</w:t>
      </w:r>
      <w:r>
        <w:rPr>
          <w:rFonts w:hint="default" w:ascii="Times New Roman" w:hAnsi="Times New Roman" w:eastAsia="方正仿宋_GBK" w:cs="Times New Roman"/>
          <w:color w:val="auto"/>
          <w:sz w:val="32"/>
          <w:szCs w:val="32"/>
          <w:u w:val="none"/>
        </w:rPr>
        <w:t>即对</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乱占</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乱采</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乱堆</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乱建</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问题进行清理整治。</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乱占</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是指围垦湖泊，未依法经省级以上人民政府批准围垦河道，非法侵占水域、滩地，种植阻碍行洪的林木及高秆作物等问题；“乱采”是指河湖非法采砂、取土等问题；</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乱堆</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是指乱扔乱堆垃圾，倾倒、填埋、贮存、堆放固体废物，弃置、堆放阻碍行洪的物体等问题；</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乱建</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是指河湖水域岸线长期占而不用、多占少用、滥占滥用，违法违规建设涉河项目，河道管理范围内修建阻碍行洪的建筑物、构筑物等问题</w:t>
      </w:r>
      <w:r>
        <w:rPr>
          <w:rFonts w:hint="eastAsia"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cs="Times New Roman"/>
          <w:u w:val="none"/>
          <w:lang w:val="en-US" w:eastAsia="zh-CN"/>
        </w:rPr>
      </w:pPr>
      <w:r>
        <w:rPr>
          <w:rFonts w:hint="default" w:ascii="Times New Roman" w:hAnsi="Times New Roman" w:eastAsia="方正仿宋_GBK" w:cs="Times New Roman"/>
          <w:b/>
          <w:color w:val="auto"/>
          <w:sz w:val="32"/>
          <w:szCs w:val="32"/>
          <w:u w:val="none"/>
          <w:lang w:val="en-US" w:eastAsia="zh-CN"/>
        </w:rPr>
        <w:t>5. 散乱污：</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散</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是指不符合城镇总体规划、土地利用规划、产业布局规划的工业企业</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乱</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是指违法违规建设、违规生产经营的，以及使用闲置设施农业用房、教育、农房等非工业用房进行非法生产的工业企业</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污</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是指违法违规排放、超标排放废水、废气、废渣的工业企业。</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
          <w:color w:val="auto"/>
          <w:sz w:val="32"/>
          <w:szCs w:val="32"/>
          <w:u w:val="none"/>
          <w:lang w:val="en-US" w:eastAsia="zh-CN"/>
        </w:rPr>
        <w:t xml:space="preserve">6. </w:t>
      </w:r>
      <w:r>
        <w:rPr>
          <w:rFonts w:hint="default" w:ascii="Times New Roman" w:hAnsi="Times New Roman" w:eastAsia="方正仿宋_GBK" w:cs="Times New Roman"/>
          <w:b/>
          <w:color w:val="auto"/>
          <w:sz w:val="32"/>
          <w:szCs w:val="32"/>
          <w:u w:val="none"/>
        </w:rPr>
        <w:t>一网通办：</w:t>
      </w:r>
      <w:r>
        <w:rPr>
          <w:rFonts w:hint="default" w:ascii="Times New Roman" w:hAnsi="Times New Roman" w:eastAsia="方正仿宋_GBK" w:cs="Times New Roman"/>
          <w:color w:val="auto"/>
          <w:sz w:val="32"/>
          <w:szCs w:val="32"/>
          <w:u w:val="none"/>
        </w:rPr>
        <w:t>是指进一张网办全部事，打通不同部门的信息系统，群众只需操作一个办事系统，就能办成不同领域的事项，解决</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办不完的手续、盖不完的章、跑不完的路</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的问题</w:t>
      </w:r>
      <w:r>
        <w:rPr>
          <w:rFonts w:hint="default" w:ascii="Times New Roman" w:hAnsi="Times New Roman" w:eastAsia="方正仿宋_GBK" w:cs="Times New Roman"/>
          <w:color w:val="auto"/>
          <w:sz w:val="32"/>
          <w:szCs w:val="32"/>
          <w:u w:val="none"/>
          <w:lang w:eastAsia="zh-CN"/>
        </w:rPr>
        <w:t>。</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color w:val="auto"/>
          <w:sz w:val="32"/>
          <w:szCs w:val="32"/>
          <w:u w:val="none"/>
        </w:rPr>
      </w:pPr>
      <w:r>
        <w:rPr>
          <w:rFonts w:hint="eastAsia" w:ascii="Times New Roman" w:hAnsi="Times New Roman" w:eastAsia="方正仿宋_GBK" w:cs="Times New Roman"/>
          <w:b/>
          <w:color w:val="auto"/>
          <w:kern w:val="2"/>
          <w:sz w:val="32"/>
          <w:szCs w:val="32"/>
          <w:u w:val="none"/>
          <w:lang w:val="en-US" w:eastAsia="zh-CN" w:bidi="ar-SA"/>
        </w:rPr>
        <w:t xml:space="preserve">7. </w:t>
      </w:r>
      <w:r>
        <w:rPr>
          <w:rFonts w:hint="default" w:ascii="Times New Roman" w:hAnsi="Times New Roman" w:eastAsia="方正仿宋_GBK" w:cs="Times New Roman"/>
          <w:b/>
          <w:color w:val="auto"/>
          <w:kern w:val="2"/>
          <w:sz w:val="32"/>
          <w:szCs w:val="32"/>
          <w:u w:val="none"/>
          <w:lang w:val="en-US" w:eastAsia="zh-CN" w:bidi="ar-SA"/>
        </w:rPr>
        <w:t>上云用数赋智：</w:t>
      </w:r>
      <w:r>
        <w:rPr>
          <w:rFonts w:hint="default" w:ascii="Times New Roman" w:hAnsi="Times New Roman" w:eastAsia="方正仿宋_GBK" w:cs="Times New Roman"/>
          <w:b w:val="0"/>
          <w:bCs w:val="0"/>
          <w:color w:val="auto"/>
          <w:kern w:val="0"/>
          <w:sz w:val="32"/>
          <w:szCs w:val="32"/>
          <w:u w:val="none"/>
          <w:lang w:val="en-US" w:eastAsia="zh-CN"/>
        </w:rPr>
        <w:t>“上云”是指探索推行普惠型的云服务支持政策；</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用数</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是指更深层次推进大数据的融合运用；</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赋智</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，是指加大对企业智能化改造的支持力度，特别是要推进人工智能和实体经济的深度融合。</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color w:val="auto"/>
          <w:sz w:val="32"/>
          <w:szCs w:val="32"/>
          <w:u w:val="none"/>
          <w:lang w:val="en-US" w:eastAsia="zh-CN"/>
        </w:rPr>
        <w:t>8</w:t>
      </w:r>
      <w:r>
        <w:rPr>
          <w:rFonts w:hint="default" w:ascii="Times New Roman" w:hAnsi="Times New Roman" w:eastAsia="方正仿宋_GBK" w:cs="Times New Roman"/>
          <w:b/>
          <w:color w:val="auto"/>
          <w:sz w:val="32"/>
          <w:szCs w:val="32"/>
          <w:u w:val="none"/>
        </w:rPr>
        <w:t xml:space="preserve">. </w:t>
      </w:r>
      <w:r>
        <w:rPr>
          <w:rFonts w:hint="default" w:ascii="Times New Roman" w:hAnsi="Times New Roman" w:eastAsia="方正仿宋_GBK" w:cs="Times New Roman"/>
          <w:b/>
          <w:color w:val="auto"/>
          <w:kern w:val="2"/>
          <w:sz w:val="32"/>
          <w:szCs w:val="32"/>
          <w:u w:val="none"/>
          <w:lang w:val="en-US" w:eastAsia="zh-CN" w:bidi="ar-SA"/>
        </w:rPr>
        <w:t>四基地两中心一高地一体系：</w:t>
      </w:r>
      <w:r>
        <w:rPr>
          <w:rFonts w:hint="default" w:ascii="Times New Roman" w:hAnsi="Times New Roman" w:eastAsia="方正仿宋_GBK" w:cs="Times New Roman"/>
          <w:b w:val="0"/>
          <w:bCs w:val="0"/>
          <w:color w:val="auto"/>
          <w:kern w:val="0"/>
          <w:sz w:val="32"/>
          <w:szCs w:val="32"/>
          <w:u w:val="none"/>
          <w:lang w:val="en-US" w:eastAsia="zh-CN"/>
        </w:rPr>
        <w:t>是指包头市将突出建设全国重要的新型材料产业基地、现代能源产业基地和在全国有重要影响力的现代装备制造产业基地、农畜食品产业基地；打造区域性服务业中心、区域性创新中心；加快建设对外开放新高地；加快建设现代化经济体系。</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color w:val="auto"/>
          <w:sz w:val="32"/>
          <w:szCs w:val="32"/>
          <w:u w:val="none"/>
        </w:rPr>
      </w:pPr>
      <w:r>
        <w:rPr>
          <w:rFonts w:hint="eastAsia" w:ascii="Times New Roman" w:hAnsi="Times New Roman" w:eastAsia="方正仿宋_GBK" w:cs="Times New Roman"/>
          <w:b/>
          <w:color w:val="auto"/>
          <w:kern w:val="2"/>
          <w:sz w:val="32"/>
          <w:szCs w:val="32"/>
          <w:u w:val="none"/>
          <w:lang w:val="en-US" w:eastAsia="zh-CN" w:bidi="ar-SA"/>
        </w:rPr>
        <w:t xml:space="preserve">9. </w:t>
      </w:r>
      <w:r>
        <w:rPr>
          <w:rFonts w:hint="default" w:ascii="Times New Roman" w:hAnsi="Times New Roman" w:eastAsia="方正仿宋_GBK" w:cs="Times New Roman"/>
          <w:b/>
          <w:color w:val="auto"/>
          <w:kern w:val="2"/>
          <w:sz w:val="32"/>
          <w:szCs w:val="32"/>
          <w:u w:val="none"/>
          <w:lang w:val="en-US" w:eastAsia="zh-CN" w:bidi="ar-SA"/>
        </w:rPr>
        <w:t>口袋公园：</w:t>
      </w:r>
      <w:r>
        <w:rPr>
          <w:rFonts w:hint="default" w:ascii="Times New Roman" w:hAnsi="Times New Roman" w:eastAsia="方正仿宋_GBK" w:cs="Times New Roman"/>
          <w:b w:val="0"/>
          <w:bCs w:val="0"/>
          <w:color w:val="auto"/>
          <w:kern w:val="0"/>
          <w:sz w:val="32"/>
          <w:szCs w:val="32"/>
          <w:u w:val="none"/>
          <w:lang w:val="en-US" w:eastAsia="zh-CN"/>
        </w:rPr>
        <w:t>也称袖珍公园，指规模很小的城市开放空间，常呈斑块状散落或隐藏在城市结构中，为当地居民服务。口袋公园是对较小地块进行绿化种植，再配置座椅等便民服务设施。城市中的各种小型绿地、小公园、街心花园、社区小型运动场所等都是身边常见的口袋公园。</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cs="Times New Roman"/>
          <w:color w:val="auto"/>
          <w:u w:val="none"/>
        </w:rPr>
      </w:pPr>
      <w:r>
        <w:rPr>
          <w:rFonts w:hint="eastAsia" w:ascii="Times New Roman" w:hAnsi="Times New Roman" w:eastAsia="方正仿宋_GBK" w:cs="Times New Roman"/>
          <w:b/>
          <w:color w:val="auto"/>
          <w:sz w:val="32"/>
          <w:szCs w:val="32"/>
          <w:u w:val="none"/>
          <w:lang w:val="en-US" w:eastAsia="zh-CN"/>
        </w:rPr>
        <w:t>10</w:t>
      </w:r>
      <w:r>
        <w:rPr>
          <w:rFonts w:hint="default" w:ascii="Times New Roman" w:hAnsi="Times New Roman" w:eastAsia="方正仿宋_GBK" w:cs="Times New Roman"/>
          <w:b/>
          <w:color w:val="auto"/>
          <w:sz w:val="32"/>
          <w:szCs w:val="32"/>
          <w:u w:val="none"/>
        </w:rPr>
        <w:t>.</w:t>
      </w:r>
      <w:r>
        <w:rPr>
          <w:rFonts w:hint="default" w:ascii="Times New Roman" w:hAnsi="Times New Roman" w:eastAsia="方正仿宋_GBK" w:cs="Times New Roman"/>
          <w:b/>
          <w:color w:val="auto"/>
          <w:sz w:val="32"/>
          <w:szCs w:val="32"/>
          <w:u w:val="none"/>
          <w:lang w:val="en-US" w:eastAsia="zh-CN"/>
        </w:rPr>
        <w:t xml:space="preserve"> </w:t>
      </w:r>
      <w:r>
        <w:rPr>
          <w:rFonts w:hint="default" w:ascii="Times New Roman" w:hAnsi="Times New Roman" w:eastAsia="方正仿宋_GBK" w:cs="Times New Roman"/>
          <w:b/>
          <w:color w:val="auto"/>
          <w:kern w:val="2"/>
          <w:sz w:val="32"/>
          <w:szCs w:val="32"/>
          <w:u w:val="none"/>
          <w:lang w:val="en-US" w:eastAsia="zh-CN" w:bidi="ar-SA"/>
        </w:rPr>
        <w:t>新型学徒制：</w:t>
      </w:r>
      <w:r>
        <w:rPr>
          <w:rFonts w:hint="default" w:ascii="Times New Roman" w:hAnsi="Times New Roman" w:eastAsia="方正仿宋_GBK" w:cs="Times New Roman"/>
          <w:b w:val="0"/>
          <w:bCs w:val="0"/>
          <w:color w:val="auto"/>
          <w:kern w:val="0"/>
          <w:sz w:val="32"/>
          <w:szCs w:val="32"/>
          <w:u w:val="none"/>
          <w:lang w:val="en-US" w:eastAsia="zh-CN"/>
        </w:rPr>
        <w:t>是指按照政府引导、企业为主、院校参与的原则，采取</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企校双制、工学一体</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的模式，即由企业与技工院校、职业院校、职业培训机构、企业培训中心等教育培训机构采取企校双师带徒、工学交替培养等模式共同培养学徒。</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Times New Roman" w:hAnsi="Times New Roman" w:eastAsia="方正仿宋_GBK" w:cs="Times New Roman"/>
          <w:b/>
          <w:color w:val="auto"/>
          <w:kern w:val="2"/>
          <w:sz w:val="32"/>
          <w:szCs w:val="32"/>
          <w:u w:val="none"/>
          <w:lang w:val="en-US" w:eastAsia="zh-CN" w:bidi="ar-SA"/>
        </w:rPr>
        <w:t>11</w:t>
      </w:r>
      <w:r>
        <w:rPr>
          <w:rFonts w:hint="default" w:ascii="Times New Roman" w:hAnsi="Times New Roman" w:eastAsia="方正仿宋_GBK" w:cs="Times New Roman"/>
          <w:b/>
          <w:color w:val="auto"/>
          <w:kern w:val="2"/>
          <w:sz w:val="32"/>
          <w:szCs w:val="32"/>
          <w:u w:val="none"/>
          <w:lang w:val="en-US" w:eastAsia="zh-CN" w:bidi="ar-SA"/>
        </w:rPr>
        <w:t>. 五大组团、五区目标、五大提升：</w:t>
      </w:r>
      <w:r>
        <w:rPr>
          <w:rFonts w:hint="default" w:ascii="Times New Roman" w:hAnsi="Times New Roman" w:eastAsia="方正仿宋_GBK" w:cs="Times New Roman"/>
          <w:color w:val="auto"/>
          <w:kern w:val="2"/>
          <w:sz w:val="32"/>
          <w:szCs w:val="32"/>
          <w:u w:val="none"/>
          <w:lang w:val="en-US" w:eastAsia="zh-CN" w:bidi="ar-SA"/>
        </w:rPr>
        <w:t>是指东河区加快建设铝业园区、南部地区、北梁地区、东部农区、中心城区</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五大组团</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着力构筑铝基铜基新材料产业绿色转型升级示范区、黄河湿地生态体验和新兴产业引领区、文商旅深度融合先行区、城郊型农业发展示范区、优质公共服务保障区“五区目标”，实现经济发展质效、城市品质、生态环境质量、民生福祉、社会治理效能</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五大提升</w:t>
      </w:r>
      <w:r>
        <w:rPr>
          <w:rFonts w:hint="eastAsia"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color w:val="auto"/>
          <w:kern w:val="2"/>
          <w:sz w:val="32"/>
          <w:szCs w:val="32"/>
          <w:u w:val="none"/>
          <w:lang w:val="en-US" w:eastAsia="zh-CN" w:bidi="ar-SA"/>
        </w:rPr>
        <w:t xml:space="preserve">12. </w:t>
      </w:r>
      <w:r>
        <w:rPr>
          <w:rFonts w:hint="default" w:ascii="Times New Roman" w:hAnsi="Times New Roman" w:eastAsia="方正仿宋_GBK" w:cs="Times New Roman"/>
          <w:b/>
          <w:color w:val="auto"/>
          <w:kern w:val="2"/>
          <w:sz w:val="32"/>
          <w:szCs w:val="32"/>
          <w:u w:val="none"/>
          <w:lang w:val="en-US" w:eastAsia="zh-CN" w:bidi="ar-SA"/>
        </w:rPr>
        <w:t>源网荷储：</w:t>
      </w:r>
      <w:r>
        <w:rPr>
          <w:rFonts w:hint="default" w:ascii="Times New Roman" w:hAnsi="Times New Roman" w:eastAsia="方正仿宋_GBK" w:cs="Times New Roman"/>
          <w:b w:val="0"/>
          <w:bCs w:val="0"/>
          <w:color w:val="auto"/>
          <w:kern w:val="0"/>
          <w:sz w:val="32"/>
          <w:szCs w:val="32"/>
          <w:u w:val="none"/>
          <w:lang w:val="en-US" w:eastAsia="zh-CN"/>
        </w:rPr>
        <w:t>是一种包含</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电源、电网、负荷、储能</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整体解决方案的运营模式，可精准控制社会可中断的用电负荷和储能资源，提高电网安全运行水平，可解决清洁能源消纳过程中电网波动性等问题。</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color w:val="auto"/>
          <w:kern w:val="2"/>
          <w:sz w:val="32"/>
          <w:szCs w:val="32"/>
          <w:u w:val="none"/>
          <w:lang w:val="en-US" w:eastAsia="zh-CN" w:bidi="ar-SA"/>
        </w:rPr>
        <w:t xml:space="preserve">13. </w:t>
      </w:r>
      <w:r>
        <w:rPr>
          <w:rFonts w:hint="default" w:ascii="Times New Roman" w:hAnsi="Times New Roman" w:eastAsia="方正仿宋_GBK" w:cs="Times New Roman"/>
          <w:b/>
          <w:color w:val="auto"/>
          <w:kern w:val="2"/>
          <w:sz w:val="32"/>
          <w:szCs w:val="32"/>
          <w:u w:val="none"/>
          <w:lang w:val="en-US" w:eastAsia="zh-CN" w:bidi="ar-SA"/>
        </w:rPr>
        <w:t>行政审批事项“四减”：</w:t>
      </w:r>
      <w:r>
        <w:rPr>
          <w:rFonts w:hint="default" w:ascii="Times New Roman" w:hAnsi="Times New Roman" w:eastAsia="方正仿宋_GBK" w:cs="Times New Roman"/>
          <w:color w:val="auto"/>
          <w:sz w:val="32"/>
          <w:szCs w:val="32"/>
          <w:u w:val="none"/>
          <w:lang w:val="en-US" w:eastAsia="zh-CN"/>
        </w:rPr>
        <w:t>是指行政审批事项</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减时间、减流程、减材料、减跑路</w:t>
      </w:r>
      <w:r>
        <w:rPr>
          <w:rFonts w:hint="eastAsia"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
          <w:color w:val="auto"/>
          <w:kern w:val="2"/>
          <w:sz w:val="32"/>
          <w:szCs w:val="32"/>
          <w:u w:val="none"/>
          <w:lang w:val="en-US" w:eastAsia="zh-CN" w:bidi="ar-SA"/>
        </w:rPr>
        <w:t xml:space="preserve">14. </w:t>
      </w:r>
      <w:r>
        <w:rPr>
          <w:rFonts w:hint="default" w:ascii="Times New Roman" w:hAnsi="Times New Roman" w:eastAsia="方正仿宋_GBK" w:cs="Times New Roman"/>
          <w:b/>
          <w:color w:val="auto"/>
          <w:kern w:val="2"/>
          <w:sz w:val="32"/>
          <w:szCs w:val="32"/>
          <w:u w:val="none"/>
          <w:lang w:val="en-US" w:eastAsia="zh-CN" w:bidi="ar-SA"/>
        </w:rPr>
        <w:t>蒙速办▪四办：</w:t>
      </w:r>
      <w:r>
        <w:rPr>
          <w:rFonts w:hint="default" w:ascii="Times New Roman" w:hAnsi="Times New Roman" w:eastAsia="方正仿宋_GBK" w:cs="Times New Roman"/>
          <w:color w:val="auto"/>
          <w:sz w:val="32"/>
          <w:szCs w:val="32"/>
          <w:u w:val="none"/>
          <w:lang w:val="en-US" w:eastAsia="zh-CN"/>
        </w:rPr>
        <w:t>一次办、帮您办、一网办、掌上办。</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
          <w:color w:val="auto"/>
          <w:kern w:val="2"/>
          <w:sz w:val="32"/>
          <w:szCs w:val="32"/>
          <w:u w:val="none"/>
          <w:lang w:val="en-US" w:eastAsia="zh-CN" w:bidi="ar-SA"/>
        </w:rPr>
        <w:t>15. “</w:t>
      </w:r>
      <w:r>
        <w:rPr>
          <w:rFonts w:hint="default" w:ascii="Times New Roman" w:hAnsi="Times New Roman" w:eastAsia="方正仿宋_GBK" w:cs="Times New Roman"/>
          <w:b/>
          <w:color w:val="auto"/>
          <w:kern w:val="2"/>
          <w:sz w:val="32"/>
          <w:szCs w:val="32"/>
          <w:u w:val="none"/>
          <w:lang w:val="en-US" w:eastAsia="zh-CN" w:bidi="ar-SA"/>
        </w:rPr>
        <w:t>一窗式</w:t>
      </w:r>
      <w:r>
        <w:rPr>
          <w:rFonts w:hint="eastAsia" w:ascii="Times New Roman" w:hAnsi="Times New Roman" w:eastAsia="方正仿宋_GBK" w:cs="Times New Roman"/>
          <w:b/>
          <w:color w:val="auto"/>
          <w:kern w:val="2"/>
          <w:sz w:val="32"/>
          <w:szCs w:val="32"/>
          <w:u w:val="none"/>
          <w:lang w:val="en-US" w:eastAsia="zh-CN" w:bidi="ar-SA"/>
        </w:rPr>
        <w:t>”</w:t>
      </w:r>
      <w:r>
        <w:rPr>
          <w:rFonts w:hint="default" w:ascii="Times New Roman" w:hAnsi="Times New Roman" w:eastAsia="方正仿宋_GBK" w:cs="Times New Roman"/>
          <w:b/>
          <w:color w:val="auto"/>
          <w:kern w:val="2"/>
          <w:sz w:val="32"/>
          <w:szCs w:val="32"/>
          <w:u w:val="none"/>
          <w:lang w:val="en-US" w:eastAsia="zh-CN" w:bidi="ar-SA"/>
        </w:rPr>
        <w:t>综合受理改革：</w:t>
      </w:r>
      <w:r>
        <w:rPr>
          <w:rFonts w:hint="default" w:ascii="Times New Roman" w:hAnsi="Times New Roman" w:eastAsia="方正仿宋_GBK" w:cs="Times New Roman"/>
          <w:color w:val="auto"/>
          <w:sz w:val="32"/>
          <w:szCs w:val="32"/>
          <w:u w:val="none"/>
          <w:lang w:val="en-US" w:eastAsia="zh-CN"/>
        </w:rPr>
        <w:t>是指政务服务大厅全面推</w:t>
      </w:r>
      <w:r>
        <w:rPr>
          <w:rFonts w:hint="default" w:ascii="Times New Roman" w:hAnsi="Times New Roman" w:eastAsia="方正仿宋_GBK" w:cs="Times New Roman"/>
          <w:color w:val="auto"/>
          <w:sz w:val="32"/>
          <w:szCs w:val="32"/>
          <w:u w:val="none"/>
        </w:rPr>
        <w:t>行</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前台综合受理、中台专业支撑、后台分类审批、窗口统一出件</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的前中后台协同服务模式。</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eastAsia" w:ascii="Times New Roman" w:hAnsi="Times New Roman" w:eastAsia="方正仿宋_GBK" w:cs="Times New Roman"/>
          <w:b/>
          <w:color w:val="auto"/>
          <w:kern w:val="2"/>
          <w:sz w:val="32"/>
          <w:szCs w:val="32"/>
          <w:u w:val="none"/>
          <w:lang w:val="en-US" w:eastAsia="zh-CN" w:bidi="ar-SA"/>
        </w:rPr>
      </w:pPr>
      <w:r>
        <w:rPr>
          <w:rFonts w:hint="eastAsia" w:ascii="Times New Roman" w:hAnsi="Times New Roman" w:eastAsia="方正仿宋_GBK" w:cs="Times New Roman"/>
          <w:b/>
          <w:color w:val="auto"/>
          <w:kern w:val="2"/>
          <w:sz w:val="32"/>
          <w:szCs w:val="32"/>
          <w:u w:val="none"/>
          <w:lang w:val="en-US" w:eastAsia="zh-CN" w:bidi="ar-SA"/>
        </w:rPr>
        <w:t xml:space="preserve">16. </w:t>
      </w:r>
      <w:r>
        <w:rPr>
          <w:rFonts w:hint="default" w:ascii="Times New Roman" w:hAnsi="Times New Roman" w:eastAsia="方正仿宋_GBK" w:cs="Times New Roman"/>
          <w:b/>
          <w:color w:val="auto"/>
          <w:kern w:val="2"/>
          <w:sz w:val="32"/>
          <w:szCs w:val="32"/>
          <w:u w:val="none"/>
          <w:lang w:val="en-US" w:eastAsia="zh-CN" w:bidi="ar-SA"/>
        </w:rPr>
        <w:t>冷凉蔬菜：</w:t>
      </w:r>
      <w:r>
        <w:rPr>
          <w:rFonts w:hint="default" w:ascii="Times New Roman" w:hAnsi="Times New Roman" w:eastAsia="方正仿宋_GBK" w:cs="Times New Roman"/>
          <w:b w:val="0"/>
          <w:bCs w:val="0"/>
          <w:color w:val="auto"/>
          <w:kern w:val="0"/>
          <w:sz w:val="32"/>
          <w:szCs w:val="32"/>
          <w:u w:val="none"/>
          <w:lang w:val="en-US" w:eastAsia="zh-CN"/>
        </w:rPr>
        <w:t>是指在海拔较高、温度较低、生态良好的地区生产的蔬菜，具有较好的品质和有良好的销售档期，利于顺畅销售，形成冷凉型蔬菜的价格优势。</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b/>
          <w:bCs w:val="0"/>
          <w:color w:val="auto"/>
          <w:kern w:val="2"/>
          <w:sz w:val="32"/>
          <w:szCs w:val="32"/>
          <w:u w:val="none"/>
          <w:lang w:val="en-US" w:eastAsia="zh-CN" w:bidi="ar-SA"/>
        </w:rPr>
        <w:t>17</w:t>
      </w:r>
      <w:r>
        <w:rPr>
          <w:rFonts w:hint="default" w:ascii="Times New Roman" w:hAnsi="Times New Roman" w:eastAsia="方正仿宋_GBK" w:cs="Times New Roman"/>
          <w:b/>
          <w:bCs w:val="0"/>
          <w:color w:val="auto"/>
          <w:kern w:val="2"/>
          <w:sz w:val="32"/>
          <w:szCs w:val="32"/>
          <w:u w:val="none"/>
          <w:lang w:val="en-US" w:eastAsia="zh-CN" w:bidi="ar-SA"/>
        </w:rPr>
        <w:t xml:space="preserve">. </w:t>
      </w:r>
      <w:r>
        <w:rPr>
          <w:rFonts w:hint="eastAsia" w:ascii="Times New Roman" w:hAnsi="Times New Roman" w:eastAsia="方正仿宋_GBK" w:cs="Times New Roman"/>
          <w:b/>
          <w:color w:val="auto"/>
          <w:kern w:val="2"/>
          <w:sz w:val="32"/>
          <w:szCs w:val="32"/>
          <w:u w:val="none"/>
          <w:lang w:val="en-US" w:eastAsia="zh-CN" w:bidi="ar-SA"/>
        </w:rPr>
        <w:t>碳达峰、碳中和：</w:t>
      </w:r>
      <w:r>
        <w:rPr>
          <w:rFonts w:hint="eastAsia" w:ascii="Times New Roman" w:hAnsi="Times New Roman" w:eastAsia="方正仿宋_GBK" w:cs="Times New Roman"/>
          <w:b w:val="0"/>
          <w:bCs w:val="0"/>
          <w:color w:val="auto"/>
          <w:kern w:val="0"/>
          <w:sz w:val="32"/>
          <w:szCs w:val="32"/>
          <w:u w:val="none"/>
          <w:lang w:val="en-US" w:eastAsia="zh-CN"/>
        </w:rPr>
        <w:t>“碳达峰”是指在某一个时点，二氧化碳的排放不再增长，达到峰值之后逐步回落。“碳中和”是指在一定时间内，通过植树造林、节能减排等途径，抵消自身所产生的二氧化碳排放量，实现二氧化碳“零排放”。</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color w:val="auto"/>
          <w:kern w:val="2"/>
          <w:sz w:val="32"/>
          <w:szCs w:val="32"/>
          <w:u w:val="none"/>
          <w:lang w:val="en-US" w:eastAsia="zh-CN" w:bidi="ar-SA"/>
        </w:rPr>
      </w:pPr>
      <w:r>
        <w:rPr>
          <w:rFonts w:hint="default" w:ascii="Times New Roman" w:hAnsi="Times New Roman" w:eastAsia="方正仿宋_GBK" w:cs="Times New Roman"/>
          <w:b/>
          <w:color w:val="auto"/>
          <w:kern w:val="2"/>
          <w:sz w:val="32"/>
          <w:szCs w:val="32"/>
          <w:u w:val="none"/>
          <w:lang w:val="en-US" w:eastAsia="zh-CN" w:bidi="ar-SA"/>
        </w:rPr>
        <w:t>1</w:t>
      </w:r>
      <w:r>
        <w:rPr>
          <w:rFonts w:hint="eastAsia" w:ascii="Times New Roman" w:hAnsi="Times New Roman" w:eastAsia="方正仿宋_GBK" w:cs="Times New Roman"/>
          <w:b/>
          <w:color w:val="auto"/>
          <w:kern w:val="2"/>
          <w:sz w:val="32"/>
          <w:szCs w:val="32"/>
          <w:u w:val="none"/>
          <w:lang w:val="en-US" w:eastAsia="zh-CN" w:bidi="ar-SA"/>
        </w:rPr>
        <w:t>8</w:t>
      </w:r>
      <w:r>
        <w:rPr>
          <w:rFonts w:hint="default" w:ascii="Times New Roman" w:hAnsi="Times New Roman" w:eastAsia="方正仿宋_GBK" w:cs="Times New Roman"/>
          <w:b/>
          <w:color w:val="auto"/>
          <w:kern w:val="2"/>
          <w:sz w:val="32"/>
          <w:szCs w:val="32"/>
          <w:u w:val="none"/>
          <w:lang w:val="en-US" w:eastAsia="zh-CN" w:bidi="ar-SA"/>
        </w:rPr>
        <w:t>. 城市更新：</w:t>
      </w:r>
      <w:r>
        <w:rPr>
          <w:rFonts w:hint="default" w:ascii="Times New Roman" w:hAnsi="Times New Roman" w:eastAsia="方正仿宋_GBK" w:cs="Times New Roman"/>
          <w:b w:val="0"/>
          <w:bCs w:val="0"/>
          <w:color w:val="auto"/>
          <w:kern w:val="0"/>
          <w:sz w:val="32"/>
          <w:szCs w:val="32"/>
          <w:u w:val="none"/>
          <w:lang w:val="en-US" w:eastAsia="zh-CN"/>
        </w:rPr>
        <w:t>是一种将城市中已经不适应现代化城市社会生活的地区做必要的、有计划地改建活动。</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color w:val="auto"/>
          <w:kern w:val="2"/>
          <w:sz w:val="32"/>
          <w:szCs w:val="32"/>
          <w:u w:val="none"/>
          <w:lang w:val="en-US" w:eastAsia="zh-CN" w:bidi="ar-SA"/>
        </w:rPr>
      </w:pPr>
      <w:r>
        <w:rPr>
          <w:rFonts w:hint="default" w:ascii="Times New Roman" w:hAnsi="Times New Roman" w:eastAsia="方正仿宋_GBK" w:cs="Times New Roman"/>
          <w:b/>
          <w:color w:val="auto"/>
          <w:kern w:val="2"/>
          <w:sz w:val="32"/>
          <w:szCs w:val="32"/>
          <w:u w:val="none"/>
          <w:lang w:val="en-US" w:eastAsia="zh-CN" w:bidi="ar-SA"/>
        </w:rPr>
        <w:t>1</w:t>
      </w:r>
      <w:r>
        <w:rPr>
          <w:rFonts w:hint="eastAsia" w:ascii="Times New Roman" w:hAnsi="Times New Roman" w:eastAsia="方正仿宋_GBK" w:cs="Times New Roman"/>
          <w:b/>
          <w:color w:val="auto"/>
          <w:kern w:val="2"/>
          <w:sz w:val="32"/>
          <w:szCs w:val="32"/>
          <w:u w:val="none"/>
          <w:lang w:val="en-US" w:eastAsia="zh-CN" w:bidi="ar-SA"/>
        </w:rPr>
        <w:t>9</w:t>
      </w:r>
      <w:r>
        <w:rPr>
          <w:rFonts w:hint="default" w:ascii="Times New Roman" w:hAnsi="Times New Roman" w:eastAsia="方正仿宋_GBK" w:cs="Times New Roman"/>
          <w:b/>
          <w:color w:val="auto"/>
          <w:kern w:val="2"/>
          <w:sz w:val="32"/>
          <w:szCs w:val="32"/>
          <w:u w:val="none"/>
          <w:lang w:val="en-US" w:eastAsia="zh-CN" w:bidi="ar-SA"/>
        </w:rPr>
        <w:t>. 一湖、一街区、两河、五单元：</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一湖</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指南海湖湿地公园及宏观区；</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一街区</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指妙法寺、财神庙历史文化街区；</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两河</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指东河槽（含转龙藏）、西河槽；</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五单元</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即</w:t>
      </w:r>
      <w:r>
        <w:rPr>
          <w:rFonts w:hint="eastAsia" w:ascii="Times New Roman" w:hAnsi="Times New Roman" w:eastAsia="方正仿宋_GBK" w:cs="Times New Roman"/>
          <w:b w:val="0"/>
          <w:bCs w:val="0"/>
          <w:color w:val="auto"/>
          <w:kern w:val="0"/>
          <w:sz w:val="32"/>
          <w:szCs w:val="32"/>
          <w:u w:val="none"/>
          <w:lang w:val="en-US" w:eastAsia="zh-CN"/>
        </w:rPr>
        <w:t>“</w:t>
      </w:r>
      <w:r>
        <w:rPr>
          <w:rFonts w:hint="default" w:ascii="Times New Roman" w:hAnsi="Times New Roman" w:eastAsia="方正仿宋_GBK" w:cs="Times New Roman"/>
          <w:b w:val="0"/>
          <w:bCs w:val="0"/>
          <w:color w:val="auto"/>
          <w:kern w:val="0"/>
          <w:sz w:val="32"/>
          <w:szCs w:val="32"/>
          <w:u w:val="none"/>
          <w:lang w:val="en-US" w:eastAsia="zh-CN"/>
        </w:rPr>
        <w:t>五个城市</w:t>
      </w:r>
      <w:r>
        <w:rPr>
          <w:rFonts w:hint="default" w:ascii="Times New Roman" w:hAnsi="Times New Roman" w:eastAsia="方正仿宋_GBK" w:cs="Times New Roman"/>
          <w:b w:val="0"/>
          <w:bCs w:val="0"/>
          <w:color w:val="auto"/>
          <w:spacing w:val="-6"/>
          <w:kern w:val="0"/>
          <w:sz w:val="32"/>
          <w:szCs w:val="32"/>
          <w:u w:val="none"/>
          <w:lang w:val="en-US" w:eastAsia="zh-CN"/>
        </w:rPr>
        <w:t>更新单元</w:t>
      </w:r>
      <w:r>
        <w:rPr>
          <w:rFonts w:hint="eastAsia" w:ascii="Times New Roman" w:hAnsi="Times New Roman" w:eastAsia="方正仿宋_GBK" w:cs="Times New Roman"/>
          <w:b w:val="0"/>
          <w:bCs w:val="0"/>
          <w:color w:val="auto"/>
          <w:spacing w:val="-6"/>
          <w:kern w:val="0"/>
          <w:sz w:val="32"/>
          <w:szCs w:val="32"/>
          <w:u w:val="none"/>
          <w:lang w:val="en-US" w:eastAsia="zh-CN"/>
        </w:rPr>
        <w:t>”</w:t>
      </w:r>
      <w:r>
        <w:rPr>
          <w:rFonts w:hint="default" w:ascii="Times New Roman" w:hAnsi="Times New Roman" w:eastAsia="方正仿宋_GBK" w:cs="Times New Roman"/>
          <w:b w:val="0"/>
          <w:bCs w:val="0"/>
          <w:color w:val="auto"/>
          <w:spacing w:val="-6"/>
          <w:kern w:val="0"/>
          <w:sz w:val="32"/>
          <w:szCs w:val="32"/>
          <w:u w:val="none"/>
          <w:lang w:val="en-US" w:eastAsia="zh-CN"/>
        </w:rPr>
        <w:t>，是指铁西、东站、西脑包、和平路、南圪洞五个街道。</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color w:val="auto"/>
          <w:kern w:val="2"/>
          <w:sz w:val="32"/>
          <w:szCs w:val="32"/>
          <w:u w:val="none"/>
          <w:lang w:val="en-US" w:eastAsia="zh-CN" w:bidi="ar-SA"/>
        </w:rPr>
      </w:pPr>
      <w:r>
        <w:rPr>
          <w:rFonts w:hint="eastAsia" w:ascii="Times New Roman" w:hAnsi="Times New Roman" w:eastAsia="方正仿宋_GBK" w:cs="Times New Roman"/>
          <w:b/>
          <w:color w:val="auto"/>
          <w:kern w:val="2"/>
          <w:sz w:val="32"/>
          <w:szCs w:val="32"/>
          <w:u w:val="none"/>
          <w:lang w:val="en-US" w:eastAsia="zh-CN" w:bidi="ar-SA"/>
        </w:rPr>
        <w:t>20</w:t>
      </w:r>
      <w:r>
        <w:rPr>
          <w:rFonts w:hint="default" w:ascii="Times New Roman" w:hAnsi="Times New Roman" w:eastAsia="方正仿宋_GBK" w:cs="Times New Roman"/>
          <w:b/>
          <w:color w:val="auto"/>
          <w:kern w:val="2"/>
          <w:sz w:val="32"/>
          <w:szCs w:val="32"/>
          <w:u w:val="none"/>
          <w:lang w:val="en-US" w:eastAsia="zh-CN" w:bidi="ar-SA"/>
        </w:rPr>
        <w:t xml:space="preserve">. </w:t>
      </w:r>
      <w:r>
        <w:rPr>
          <w:rFonts w:hint="eastAsia" w:ascii="Times New Roman" w:hAnsi="Times New Roman" w:eastAsia="方正仿宋_GBK" w:cs="Times New Roman"/>
          <w:b/>
          <w:color w:val="auto"/>
          <w:kern w:val="2"/>
          <w:sz w:val="32"/>
          <w:szCs w:val="32"/>
          <w:u w:val="none"/>
          <w:lang w:val="en-US" w:eastAsia="zh-CN" w:bidi="ar-SA"/>
        </w:rPr>
        <w:t>“</w:t>
      </w:r>
      <w:r>
        <w:rPr>
          <w:rFonts w:hint="default" w:ascii="Times New Roman" w:hAnsi="Times New Roman" w:eastAsia="方正仿宋_GBK" w:cs="Times New Roman"/>
          <w:b/>
          <w:color w:val="auto"/>
          <w:kern w:val="2"/>
          <w:sz w:val="32"/>
          <w:szCs w:val="32"/>
          <w:u w:val="none"/>
          <w:lang w:val="en-US" w:eastAsia="zh-CN" w:bidi="ar-SA"/>
        </w:rPr>
        <w:t>三个100</w:t>
      </w:r>
      <w:r>
        <w:rPr>
          <w:rFonts w:hint="eastAsia" w:ascii="Times New Roman" w:hAnsi="Times New Roman" w:eastAsia="方正仿宋_GBK" w:cs="Times New Roman"/>
          <w:b/>
          <w:color w:val="auto"/>
          <w:kern w:val="2"/>
          <w:sz w:val="32"/>
          <w:szCs w:val="32"/>
          <w:u w:val="none"/>
          <w:lang w:val="en-US" w:eastAsia="zh-CN" w:bidi="ar-SA"/>
        </w:rPr>
        <w:t>”</w:t>
      </w:r>
      <w:r>
        <w:rPr>
          <w:rFonts w:hint="default" w:ascii="Times New Roman" w:hAnsi="Times New Roman" w:eastAsia="方正仿宋_GBK" w:cs="Times New Roman"/>
          <w:b/>
          <w:color w:val="auto"/>
          <w:kern w:val="2"/>
          <w:sz w:val="32"/>
          <w:szCs w:val="32"/>
          <w:u w:val="none"/>
          <w:lang w:val="en-US" w:eastAsia="zh-CN" w:bidi="ar-SA"/>
        </w:rPr>
        <w:t>提升工程：</w:t>
      </w:r>
      <w:r>
        <w:rPr>
          <w:rFonts w:hint="default" w:ascii="Times New Roman" w:hAnsi="Times New Roman" w:eastAsia="方正仿宋_GBK" w:cs="Times New Roman"/>
          <w:b w:val="0"/>
          <w:bCs w:val="0"/>
          <w:color w:val="auto"/>
          <w:kern w:val="0"/>
          <w:sz w:val="32"/>
          <w:szCs w:val="32"/>
          <w:u w:val="none"/>
          <w:lang w:val="en-US" w:eastAsia="zh-CN"/>
        </w:rPr>
        <w:t>是指结合城市有机更新方案，实施100个规范化管理街道、100个精细化管理小区、100个老旧小区改造。</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color w:val="auto"/>
          <w:sz w:val="32"/>
          <w:szCs w:val="32"/>
          <w:u w:val="none"/>
        </w:rPr>
      </w:pPr>
      <w:r>
        <w:rPr>
          <w:rFonts w:hint="eastAsia" w:ascii="Times New Roman" w:hAnsi="Times New Roman" w:eastAsia="方正仿宋_GBK" w:cs="Times New Roman"/>
          <w:b/>
          <w:color w:val="auto"/>
          <w:kern w:val="2"/>
          <w:sz w:val="32"/>
          <w:szCs w:val="32"/>
          <w:u w:val="none"/>
          <w:lang w:val="en-US" w:eastAsia="zh-CN" w:bidi="ar-SA"/>
        </w:rPr>
        <w:t>21</w:t>
      </w:r>
      <w:r>
        <w:rPr>
          <w:rFonts w:hint="default" w:ascii="Times New Roman" w:hAnsi="Times New Roman" w:eastAsia="方正仿宋_GBK" w:cs="Times New Roman"/>
          <w:b/>
          <w:color w:val="auto"/>
          <w:kern w:val="2"/>
          <w:sz w:val="32"/>
          <w:szCs w:val="32"/>
          <w:u w:val="none"/>
          <w:lang w:val="en-US" w:eastAsia="zh-CN" w:bidi="ar-SA"/>
        </w:rPr>
        <w:t xml:space="preserve">. </w:t>
      </w:r>
      <w:r>
        <w:rPr>
          <w:rFonts w:hint="default" w:ascii="Times New Roman" w:hAnsi="Times New Roman" w:eastAsia="方正仿宋_GBK" w:cs="Times New Roman"/>
          <w:b/>
          <w:color w:val="auto"/>
          <w:sz w:val="32"/>
          <w:szCs w:val="32"/>
          <w:u w:val="none"/>
          <w:lang w:val="en-US" w:eastAsia="zh-CN"/>
        </w:rPr>
        <w:t>厕所革命：</w:t>
      </w:r>
      <w:r>
        <w:rPr>
          <w:rFonts w:hint="default" w:ascii="Times New Roman" w:hAnsi="Times New Roman" w:eastAsia="方正仿宋_GBK" w:cs="Times New Roman"/>
          <w:b w:val="0"/>
          <w:bCs w:val="0"/>
          <w:color w:val="auto"/>
          <w:kern w:val="0"/>
          <w:sz w:val="32"/>
          <w:szCs w:val="32"/>
          <w:u w:val="none"/>
          <w:lang w:val="en-US" w:eastAsia="zh-CN"/>
        </w:rPr>
        <w:t>对发展中国家的厕所进行改造的一项措施，最早由联合国儿童基金会提出。</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color w:val="auto"/>
          <w:kern w:val="2"/>
          <w:sz w:val="32"/>
          <w:szCs w:val="32"/>
          <w:u w:val="none"/>
          <w:lang w:val="en-US" w:eastAsia="zh-CN" w:bidi="ar-SA"/>
        </w:rPr>
        <w:t xml:space="preserve">22. </w:t>
      </w:r>
      <w:r>
        <w:rPr>
          <w:rFonts w:hint="default" w:ascii="Times New Roman" w:hAnsi="Times New Roman" w:eastAsia="方正仿宋_GBK" w:cs="Times New Roman"/>
          <w:b/>
          <w:color w:val="auto"/>
          <w:kern w:val="2"/>
          <w:sz w:val="32"/>
          <w:szCs w:val="32"/>
          <w:u w:val="none"/>
          <w:lang w:val="en-US" w:eastAsia="zh-CN" w:bidi="ar-SA"/>
        </w:rPr>
        <w:t>三个离不开：</w:t>
      </w:r>
      <w:r>
        <w:rPr>
          <w:rFonts w:hint="default" w:ascii="Times New Roman" w:hAnsi="Times New Roman" w:eastAsia="方正仿宋_GBK" w:cs="Times New Roman"/>
          <w:b w:val="0"/>
          <w:bCs w:val="0"/>
          <w:color w:val="auto"/>
          <w:kern w:val="0"/>
          <w:sz w:val="32"/>
          <w:szCs w:val="32"/>
          <w:u w:val="none"/>
          <w:lang w:val="en-US" w:eastAsia="zh-CN"/>
        </w:rPr>
        <w:t>即汉族离不开少数民族，少数民族离不开汉族，各少数民族之间也互相离不开。</w:t>
      </w:r>
    </w:p>
    <w:p>
      <w:pPr>
        <w:pStyle w:val="11"/>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textAlignment w:val="auto"/>
        <w:rPr>
          <w:rFonts w:hint="default" w:ascii="Times New Roman" w:hAnsi="Times New Roman" w:eastAsia="方正仿宋_GBK" w:cs="Times New Roman"/>
          <w:b w:val="0"/>
          <w:bCs w:val="0"/>
          <w:color w:val="auto"/>
          <w:kern w:val="0"/>
          <w:sz w:val="32"/>
          <w:szCs w:val="32"/>
          <w:u w:val="none"/>
          <w:lang w:val="en-US" w:eastAsia="zh-CN"/>
        </w:rPr>
      </w:pPr>
      <w:r>
        <w:rPr>
          <w:rFonts w:hint="eastAsia" w:ascii="Times New Roman" w:hAnsi="Times New Roman" w:eastAsia="方正仿宋_GBK" w:cs="Times New Roman"/>
          <w:b/>
          <w:color w:val="auto"/>
          <w:kern w:val="2"/>
          <w:sz w:val="32"/>
          <w:szCs w:val="32"/>
          <w:u w:val="none"/>
          <w:lang w:val="en-US" w:eastAsia="zh-CN" w:bidi="ar-SA"/>
        </w:rPr>
        <w:t>23</w:t>
      </w:r>
      <w:r>
        <w:rPr>
          <w:rFonts w:hint="default" w:ascii="Times New Roman" w:hAnsi="Times New Roman" w:eastAsia="方正仿宋_GBK" w:cs="Times New Roman"/>
          <w:b/>
          <w:color w:val="auto"/>
          <w:kern w:val="2"/>
          <w:sz w:val="32"/>
          <w:szCs w:val="32"/>
          <w:u w:val="none"/>
          <w:lang w:val="en-US" w:eastAsia="zh-CN" w:bidi="ar-SA"/>
        </w:rPr>
        <w:t>. 五个认同：</w:t>
      </w:r>
      <w:r>
        <w:rPr>
          <w:rFonts w:hint="default" w:ascii="Times New Roman" w:hAnsi="Times New Roman" w:eastAsia="方正仿宋_GBK" w:cs="Times New Roman"/>
          <w:b w:val="0"/>
          <w:bCs w:val="0"/>
          <w:color w:val="auto"/>
          <w:kern w:val="0"/>
          <w:sz w:val="32"/>
          <w:szCs w:val="32"/>
          <w:u w:val="none"/>
          <w:lang w:val="en-US" w:eastAsia="zh-CN"/>
        </w:rPr>
        <w:t>即积极培育中华民族共同体意识，增进各族群众对伟大祖国、中华民族、中华文化、中国共产党、中国特色社会主义的认同。</w:t>
      </w:r>
    </w:p>
    <w:sectPr>
      <w:footerReference r:id="rId3" w:type="default"/>
      <w:pgSz w:w="11905" w:h="16838"/>
      <w:pgMar w:top="1701" w:right="1417" w:bottom="1417" w:left="1417" w:header="0" w:footer="1049"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ZGViNWQ1OTczNDNmMDFjZGMxMDljOWQwZjcyMDQifQ=="/>
  </w:docVars>
  <w:rsids>
    <w:rsidRoot w:val="00000000"/>
    <w:rsid w:val="00321778"/>
    <w:rsid w:val="003B6225"/>
    <w:rsid w:val="00440579"/>
    <w:rsid w:val="00523EB0"/>
    <w:rsid w:val="008E0C60"/>
    <w:rsid w:val="009A13B3"/>
    <w:rsid w:val="00A05A7B"/>
    <w:rsid w:val="00B0507A"/>
    <w:rsid w:val="00CA76D3"/>
    <w:rsid w:val="00CF207D"/>
    <w:rsid w:val="00EC5F21"/>
    <w:rsid w:val="010A6538"/>
    <w:rsid w:val="010B6A73"/>
    <w:rsid w:val="010C0502"/>
    <w:rsid w:val="01215355"/>
    <w:rsid w:val="014A102B"/>
    <w:rsid w:val="01511868"/>
    <w:rsid w:val="0194674A"/>
    <w:rsid w:val="019B53E2"/>
    <w:rsid w:val="01DC37E8"/>
    <w:rsid w:val="01F20EFE"/>
    <w:rsid w:val="020C4132"/>
    <w:rsid w:val="021149E5"/>
    <w:rsid w:val="02117D9A"/>
    <w:rsid w:val="02477318"/>
    <w:rsid w:val="02641C78"/>
    <w:rsid w:val="029C0D07"/>
    <w:rsid w:val="02D908B8"/>
    <w:rsid w:val="030B2604"/>
    <w:rsid w:val="0374538F"/>
    <w:rsid w:val="03B64756"/>
    <w:rsid w:val="03BA7874"/>
    <w:rsid w:val="03BE7AAE"/>
    <w:rsid w:val="03E56DE9"/>
    <w:rsid w:val="03E77005"/>
    <w:rsid w:val="04542AD4"/>
    <w:rsid w:val="045E36B4"/>
    <w:rsid w:val="047B1719"/>
    <w:rsid w:val="048D195A"/>
    <w:rsid w:val="04936845"/>
    <w:rsid w:val="049802FF"/>
    <w:rsid w:val="04C9495C"/>
    <w:rsid w:val="04E6106A"/>
    <w:rsid w:val="04E774A1"/>
    <w:rsid w:val="051C5D00"/>
    <w:rsid w:val="054E3164"/>
    <w:rsid w:val="055C30DB"/>
    <w:rsid w:val="055C77B1"/>
    <w:rsid w:val="05871AA5"/>
    <w:rsid w:val="05FA2924"/>
    <w:rsid w:val="06327866"/>
    <w:rsid w:val="06B64A6C"/>
    <w:rsid w:val="06C158EB"/>
    <w:rsid w:val="06C76C7A"/>
    <w:rsid w:val="06F1464C"/>
    <w:rsid w:val="071F2612"/>
    <w:rsid w:val="07317761"/>
    <w:rsid w:val="07610189"/>
    <w:rsid w:val="077010BF"/>
    <w:rsid w:val="07976F92"/>
    <w:rsid w:val="07B30A3B"/>
    <w:rsid w:val="07BF5211"/>
    <w:rsid w:val="07C05BA3"/>
    <w:rsid w:val="07FB4E2D"/>
    <w:rsid w:val="08645B7E"/>
    <w:rsid w:val="08712334"/>
    <w:rsid w:val="088A58D8"/>
    <w:rsid w:val="08A41020"/>
    <w:rsid w:val="08D31DA3"/>
    <w:rsid w:val="09242161"/>
    <w:rsid w:val="097053A7"/>
    <w:rsid w:val="097924AD"/>
    <w:rsid w:val="09C828C8"/>
    <w:rsid w:val="09DE4A06"/>
    <w:rsid w:val="09ED2E9B"/>
    <w:rsid w:val="09F47D86"/>
    <w:rsid w:val="0A0A4B50"/>
    <w:rsid w:val="0A1341F3"/>
    <w:rsid w:val="0A157CFC"/>
    <w:rsid w:val="0A316A84"/>
    <w:rsid w:val="0A334D52"/>
    <w:rsid w:val="0A5922DF"/>
    <w:rsid w:val="0A5B1BB3"/>
    <w:rsid w:val="0A5E4CD5"/>
    <w:rsid w:val="0AB13EC9"/>
    <w:rsid w:val="0AED5443"/>
    <w:rsid w:val="0B381EF4"/>
    <w:rsid w:val="0B7251C4"/>
    <w:rsid w:val="0B8B4626"/>
    <w:rsid w:val="0B8F2EFC"/>
    <w:rsid w:val="0BCA216D"/>
    <w:rsid w:val="0BD80EA7"/>
    <w:rsid w:val="0C0000B3"/>
    <w:rsid w:val="0C055AAB"/>
    <w:rsid w:val="0C2B678F"/>
    <w:rsid w:val="0C2C6888"/>
    <w:rsid w:val="0C4274CE"/>
    <w:rsid w:val="0C7E65A6"/>
    <w:rsid w:val="0C9062D1"/>
    <w:rsid w:val="0C932B21"/>
    <w:rsid w:val="0CB0494B"/>
    <w:rsid w:val="0CB87790"/>
    <w:rsid w:val="0CBB3996"/>
    <w:rsid w:val="0CD90EE9"/>
    <w:rsid w:val="0D230C0F"/>
    <w:rsid w:val="0D35493D"/>
    <w:rsid w:val="0D5154EF"/>
    <w:rsid w:val="0D574DB4"/>
    <w:rsid w:val="0D8D77DB"/>
    <w:rsid w:val="0D9765E3"/>
    <w:rsid w:val="0DD24882"/>
    <w:rsid w:val="0DEA5ECA"/>
    <w:rsid w:val="0E11437C"/>
    <w:rsid w:val="0E246692"/>
    <w:rsid w:val="0E39045D"/>
    <w:rsid w:val="0E3E3CC5"/>
    <w:rsid w:val="0E51090C"/>
    <w:rsid w:val="0E58638C"/>
    <w:rsid w:val="0E7771D7"/>
    <w:rsid w:val="0E7B6CC7"/>
    <w:rsid w:val="0E80608C"/>
    <w:rsid w:val="0E9B2EC6"/>
    <w:rsid w:val="0EA33B28"/>
    <w:rsid w:val="0EAE1EBD"/>
    <w:rsid w:val="0EC248F6"/>
    <w:rsid w:val="0ED71A24"/>
    <w:rsid w:val="0EE74DE8"/>
    <w:rsid w:val="0EFC2350"/>
    <w:rsid w:val="0F3E4A8B"/>
    <w:rsid w:val="0F6870FA"/>
    <w:rsid w:val="0F7359B7"/>
    <w:rsid w:val="0F7624E6"/>
    <w:rsid w:val="0F7A2ADB"/>
    <w:rsid w:val="0F9B0756"/>
    <w:rsid w:val="0FB75ADD"/>
    <w:rsid w:val="0FD91EF8"/>
    <w:rsid w:val="0FF54858"/>
    <w:rsid w:val="104666EA"/>
    <w:rsid w:val="105C6685"/>
    <w:rsid w:val="106D43EE"/>
    <w:rsid w:val="1087681D"/>
    <w:rsid w:val="109C4CD3"/>
    <w:rsid w:val="10AA5642"/>
    <w:rsid w:val="10BB15FD"/>
    <w:rsid w:val="10CF50A9"/>
    <w:rsid w:val="10E95DCD"/>
    <w:rsid w:val="10EA0262"/>
    <w:rsid w:val="10EA1EE2"/>
    <w:rsid w:val="1109680C"/>
    <w:rsid w:val="112076B2"/>
    <w:rsid w:val="11327C27"/>
    <w:rsid w:val="113774F2"/>
    <w:rsid w:val="114E06C3"/>
    <w:rsid w:val="115B06EA"/>
    <w:rsid w:val="1176533C"/>
    <w:rsid w:val="11B037FE"/>
    <w:rsid w:val="11FD5C45"/>
    <w:rsid w:val="11FD79F3"/>
    <w:rsid w:val="122B630F"/>
    <w:rsid w:val="123416DD"/>
    <w:rsid w:val="129245E0"/>
    <w:rsid w:val="12967147"/>
    <w:rsid w:val="12BC340B"/>
    <w:rsid w:val="12C95196"/>
    <w:rsid w:val="12E070F9"/>
    <w:rsid w:val="13045697"/>
    <w:rsid w:val="130A23C8"/>
    <w:rsid w:val="13460BA8"/>
    <w:rsid w:val="135228F4"/>
    <w:rsid w:val="136A10B9"/>
    <w:rsid w:val="13B56A43"/>
    <w:rsid w:val="13C869A0"/>
    <w:rsid w:val="14203850"/>
    <w:rsid w:val="144B482A"/>
    <w:rsid w:val="1466352B"/>
    <w:rsid w:val="1469430D"/>
    <w:rsid w:val="14860174"/>
    <w:rsid w:val="14A32AD4"/>
    <w:rsid w:val="14D476EB"/>
    <w:rsid w:val="14DB04C0"/>
    <w:rsid w:val="14F75FA0"/>
    <w:rsid w:val="14F94CC0"/>
    <w:rsid w:val="15170DCC"/>
    <w:rsid w:val="151868DD"/>
    <w:rsid w:val="152C69BB"/>
    <w:rsid w:val="15545B7C"/>
    <w:rsid w:val="156A6364"/>
    <w:rsid w:val="1585667E"/>
    <w:rsid w:val="16005D04"/>
    <w:rsid w:val="163539FF"/>
    <w:rsid w:val="167C182F"/>
    <w:rsid w:val="16946B78"/>
    <w:rsid w:val="16A82624"/>
    <w:rsid w:val="16AB5C70"/>
    <w:rsid w:val="16AD3796"/>
    <w:rsid w:val="16C5286B"/>
    <w:rsid w:val="170610F8"/>
    <w:rsid w:val="17440FF0"/>
    <w:rsid w:val="1747470D"/>
    <w:rsid w:val="1768590F"/>
    <w:rsid w:val="17733D48"/>
    <w:rsid w:val="17907395"/>
    <w:rsid w:val="17D905BB"/>
    <w:rsid w:val="17EE22B8"/>
    <w:rsid w:val="180E038A"/>
    <w:rsid w:val="18363C5F"/>
    <w:rsid w:val="183A09B0"/>
    <w:rsid w:val="18574301"/>
    <w:rsid w:val="18635D32"/>
    <w:rsid w:val="187A4466"/>
    <w:rsid w:val="189664AC"/>
    <w:rsid w:val="189A2440"/>
    <w:rsid w:val="18AB01A9"/>
    <w:rsid w:val="18EB67F8"/>
    <w:rsid w:val="19017DC9"/>
    <w:rsid w:val="193A152D"/>
    <w:rsid w:val="19434573"/>
    <w:rsid w:val="1975388D"/>
    <w:rsid w:val="19CE23A1"/>
    <w:rsid w:val="19D674A8"/>
    <w:rsid w:val="1A240213"/>
    <w:rsid w:val="1A5B5BFF"/>
    <w:rsid w:val="1A5D3725"/>
    <w:rsid w:val="1AAE3F81"/>
    <w:rsid w:val="1AF1038D"/>
    <w:rsid w:val="1AFF658A"/>
    <w:rsid w:val="1B056B32"/>
    <w:rsid w:val="1B0818E3"/>
    <w:rsid w:val="1B23034B"/>
    <w:rsid w:val="1B612DA1"/>
    <w:rsid w:val="1B6805D3"/>
    <w:rsid w:val="1B7A330C"/>
    <w:rsid w:val="1B7C407F"/>
    <w:rsid w:val="1B987AE7"/>
    <w:rsid w:val="1BA243BE"/>
    <w:rsid w:val="1BBF2786"/>
    <w:rsid w:val="1BC85D19"/>
    <w:rsid w:val="1BCF41AF"/>
    <w:rsid w:val="1BF20B51"/>
    <w:rsid w:val="1C0246B7"/>
    <w:rsid w:val="1C4921B3"/>
    <w:rsid w:val="1C60574F"/>
    <w:rsid w:val="1C762226"/>
    <w:rsid w:val="1CA8319C"/>
    <w:rsid w:val="1CD87093"/>
    <w:rsid w:val="1D217FFE"/>
    <w:rsid w:val="1D3F7FB5"/>
    <w:rsid w:val="1D9F0D9B"/>
    <w:rsid w:val="1DB97E1F"/>
    <w:rsid w:val="1DE2466D"/>
    <w:rsid w:val="1E091F20"/>
    <w:rsid w:val="1E181CCB"/>
    <w:rsid w:val="1E5A1A7D"/>
    <w:rsid w:val="1E875215"/>
    <w:rsid w:val="1E9A497E"/>
    <w:rsid w:val="1EAB5D97"/>
    <w:rsid w:val="1EFA7794"/>
    <w:rsid w:val="1F142D8F"/>
    <w:rsid w:val="1F182311"/>
    <w:rsid w:val="1F240CB5"/>
    <w:rsid w:val="1F2C1918"/>
    <w:rsid w:val="1F4560C7"/>
    <w:rsid w:val="1F5C04DE"/>
    <w:rsid w:val="1F815305"/>
    <w:rsid w:val="1F8D685B"/>
    <w:rsid w:val="1F975192"/>
    <w:rsid w:val="1FEC17D3"/>
    <w:rsid w:val="1FF561AE"/>
    <w:rsid w:val="20191E9C"/>
    <w:rsid w:val="201A79C2"/>
    <w:rsid w:val="20306592"/>
    <w:rsid w:val="206D21E8"/>
    <w:rsid w:val="208714FC"/>
    <w:rsid w:val="208E288A"/>
    <w:rsid w:val="2096173F"/>
    <w:rsid w:val="20B147CB"/>
    <w:rsid w:val="20BD4F1E"/>
    <w:rsid w:val="20C42FEB"/>
    <w:rsid w:val="20CE7AF0"/>
    <w:rsid w:val="20DF4E94"/>
    <w:rsid w:val="20E942F0"/>
    <w:rsid w:val="210112AE"/>
    <w:rsid w:val="210466A8"/>
    <w:rsid w:val="21674E89"/>
    <w:rsid w:val="216C24A0"/>
    <w:rsid w:val="21751354"/>
    <w:rsid w:val="219F00C9"/>
    <w:rsid w:val="21CB18BC"/>
    <w:rsid w:val="21DB7C4E"/>
    <w:rsid w:val="21E309B4"/>
    <w:rsid w:val="22001928"/>
    <w:rsid w:val="224551CB"/>
    <w:rsid w:val="22650632"/>
    <w:rsid w:val="226C263A"/>
    <w:rsid w:val="22B67E76"/>
    <w:rsid w:val="22BE6D2B"/>
    <w:rsid w:val="22C5455D"/>
    <w:rsid w:val="22D93B65"/>
    <w:rsid w:val="230010F2"/>
    <w:rsid w:val="236553F8"/>
    <w:rsid w:val="238113D1"/>
    <w:rsid w:val="23BA3996"/>
    <w:rsid w:val="23D42CAA"/>
    <w:rsid w:val="23FA1FE5"/>
    <w:rsid w:val="2452130C"/>
    <w:rsid w:val="24561911"/>
    <w:rsid w:val="245C67FB"/>
    <w:rsid w:val="247A570E"/>
    <w:rsid w:val="247C5F34"/>
    <w:rsid w:val="24937DA4"/>
    <w:rsid w:val="24A42E6B"/>
    <w:rsid w:val="24E707BB"/>
    <w:rsid w:val="25315EDA"/>
    <w:rsid w:val="25780CA3"/>
    <w:rsid w:val="25A246E2"/>
    <w:rsid w:val="26176E7E"/>
    <w:rsid w:val="26325A66"/>
    <w:rsid w:val="264C2EC3"/>
    <w:rsid w:val="265D3C03"/>
    <w:rsid w:val="267B79D2"/>
    <w:rsid w:val="26867B60"/>
    <w:rsid w:val="268836DA"/>
    <w:rsid w:val="2694227D"/>
    <w:rsid w:val="26B97F35"/>
    <w:rsid w:val="26BB11CB"/>
    <w:rsid w:val="26CB78D0"/>
    <w:rsid w:val="26D83166"/>
    <w:rsid w:val="26E62BA8"/>
    <w:rsid w:val="26F602DF"/>
    <w:rsid w:val="271C2272"/>
    <w:rsid w:val="275E288B"/>
    <w:rsid w:val="276D5D05"/>
    <w:rsid w:val="279A1B15"/>
    <w:rsid w:val="27A26C1B"/>
    <w:rsid w:val="27B84691"/>
    <w:rsid w:val="284B1061"/>
    <w:rsid w:val="287D5AF2"/>
    <w:rsid w:val="2888032F"/>
    <w:rsid w:val="288E51F7"/>
    <w:rsid w:val="289724F8"/>
    <w:rsid w:val="289C089D"/>
    <w:rsid w:val="28D15A0A"/>
    <w:rsid w:val="291564DB"/>
    <w:rsid w:val="2957534A"/>
    <w:rsid w:val="29622D00"/>
    <w:rsid w:val="297D16EE"/>
    <w:rsid w:val="29852351"/>
    <w:rsid w:val="299C4767"/>
    <w:rsid w:val="29A529F3"/>
    <w:rsid w:val="29B6075C"/>
    <w:rsid w:val="29B64C00"/>
    <w:rsid w:val="29CE1F49"/>
    <w:rsid w:val="29E057D9"/>
    <w:rsid w:val="29F856C0"/>
    <w:rsid w:val="29FC779A"/>
    <w:rsid w:val="2A4D7312"/>
    <w:rsid w:val="2A7E26B6"/>
    <w:rsid w:val="2A8D238C"/>
    <w:rsid w:val="2B8D3641"/>
    <w:rsid w:val="2B8D68B9"/>
    <w:rsid w:val="2BEA0B91"/>
    <w:rsid w:val="2BF37A45"/>
    <w:rsid w:val="2C8537C9"/>
    <w:rsid w:val="2C922EC5"/>
    <w:rsid w:val="2CAE1DFF"/>
    <w:rsid w:val="2CB63865"/>
    <w:rsid w:val="2CCA2E9C"/>
    <w:rsid w:val="2CCC0793"/>
    <w:rsid w:val="2CD23AFF"/>
    <w:rsid w:val="2CD63D6C"/>
    <w:rsid w:val="2CE675AA"/>
    <w:rsid w:val="2D025009"/>
    <w:rsid w:val="2D067C4C"/>
    <w:rsid w:val="2D391DD0"/>
    <w:rsid w:val="2D6B28DA"/>
    <w:rsid w:val="2D7F523E"/>
    <w:rsid w:val="2DB256DE"/>
    <w:rsid w:val="2DCA65B0"/>
    <w:rsid w:val="2DCF003E"/>
    <w:rsid w:val="2DEC16D4"/>
    <w:rsid w:val="2DF17C18"/>
    <w:rsid w:val="2DF47AA5"/>
    <w:rsid w:val="2E261483"/>
    <w:rsid w:val="2E41718E"/>
    <w:rsid w:val="2E513149"/>
    <w:rsid w:val="2E813A2E"/>
    <w:rsid w:val="2E81758A"/>
    <w:rsid w:val="2EBD2F91"/>
    <w:rsid w:val="2EC124E8"/>
    <w:rsid w:val="2ECE02F6"/>
    <w:rsid w:val="2ED50A59"/>
    <w:rsid w:val="2F076975"/>
    <w:rsid w:val="2F154177"/>
    <w:rsid w:val="2F1D38DF"/>
    <w:rsid w:val="2F35554E"/>
    <w:rsid w:val="2FB219C5"/>
    <w:rsid w:val="2FB312AE"/>
    <w:rsid w:val="302F64FE"/>
    <w:rsid w:val="304545E8"/>
    <w:rsid w:val="307003A6"/>
    <w:rsid w:val="30B8125D"/>
    <w:rsid w:val="310A538F"/>
    <w:rsid w:val="310E70CF"/>
    <w:rsid w:val="31124E12"/>
    <w:rsid w:val="31436D79"/>
    <w:rsid w:val="314A45AB"/>
    <w:rsid w:val="31556AAC"/>
    <w:rsid w:val="315C42DF"/>
    <w:rsid w:val="316D2048"/>
    <w:rsid w:val="31774C75"/>
    <w:rsid w:val="31882424"/>
    <w:rsid w:val="318A400A"/>
    <w:rsid w:val="31977D40"/>
    <w:rsid w:val="31CB0A3D"/>
    <w:rsid w:val="321E1594"/>
    <w:rsid w:val="322546D1"/>
    <w:rsid w:val="323B5CA2"/>
    <w:rsid w:val="32580F24"/>
    <w:rsid w:val="325A081E"/>
    <w:rsid w:val="3279232D"/>
    <w:rsid w:val="3291620A"/>
    <w:rsid w:val="32A45F3D"/>
    <w:rsid w:val="32E4633A"/>
    <w:rsid w:val="331D35FA"/>
    <w:rsid w:val="332C1A8F"/>
    <w:rsid w:val="33890C8F"/>
    <w:rsid w:val="338C155B"/>
    <w:rsid w:val="33945FB2"/>
    <w:rsid w:val="33C650B0"/>
    <w:rsid w:val="33C65A3F"/>
    <w:rsid w:val="33C84282"/>
    <w:rsid w:val="33D4015C"/>
    <w:rsid w:val="3409300E"/>
    <w:rsid w:val="341A178B"/>
    <w:rsid w:val="34576A81"/>
    <w:rsid w:val="34627E5E"/>
    <w:rsid w:val="34833930"/>
    <w:rsid w:val="349D49F2"/>
    <w:rsid w:val="34EA39B0"/>
    <w:rsid w:val="35132F06"/>
    <w:rsid w:val="352D20EC"/>
    <w:rsid w:val="357E2A76"/>
    <w:rsid w:val="35BE7316"/>
    <w:rsid w:val="35C3492C"/>
    <w:rsid w:val="35CA5CBB"/>
    <w:rsid w:val="35F2578B"/>
    <w:rsid w:val="35F5085E"/>
    <w:rsid w:val="365B4B65"/>
    <w:rsid w:val="366559E4"/>
    <w:rsid w:val="367D1576"/>
    <w:rsid w:val="36C447CD"/>
    <w:rsid w:val="36F90814"/>
    <w:rsid w:val="372C0C2B"/>
    <w:rsid w:val="37343B7A"/>
    <w:rsid w:val="37583BBA"/>
    <w:rsid w:val="37665D9B"/>
    <w:rsid w:val="376E2676"/>
    <w:rsid w:val="37AE6F16"/>
    <w:rsid w:val="37C65B2C"/>
    <w:rsid w:val="37C80C1D"/>
    <w:rsid w:val="37F67133"/>
    <w:rsid w:val="38003C16"/>
    <w:rsid w:val="38083D4D"/>
    <w:rsid w:val="38174ABC"/>
    <w:rsid w:val="384F6F52"/>
    <w:rsid w:val="3857135C"/>
    <w:rsid w:val="386D241A"/>
    <w:rsid w:val="38767A34"/>
    <w:rsid w:val="38B13162"/>
    <w:rsid w:val="38BB18EB"/>
    <w:rsid w:val="38E30E42"/>
    <w:rsid w:val="38F00D57"/>
    <w:rsid w:val="391609E3"/>
    <w:rsid w:val="395078BE"/>
    <w:rsid w:val="3953239E"/>
    <w:rsid w:val="396E4BAF"/>
    <w:rsid w:val="397B31A6"/>
    <w:rsid w:val="397B7CEE"/>
    <w:rsid w:val="39A6259B"/>
    <w:rsid w:val="39A94468"/>
    <w:rsid w:val="39B966FD"/>
    <w:rsid w:val="39EE01F9"/>
    <w:rsid w:val="39F73599"/>
    <w:rsid w:val="3A255BB6"/>
    <w:rsid w:val="3A6B10EF"/>
    <w:rsid w:val="3AAB40D7"/>
    <w:rsid w:val="3AC060FC"/>
    <w:rsid w:val="3AD7462E"/>
    <w:rsid w:val="3AE31593"/>
    <w:rsid w:val="3B07350D"/>
    <w:rsid w:val="3B0A0908"/>
    <w:rsid w:val="3B6E70E8"/>
    <w:rsid w:val="3C0135F0"/>
    <w:rsid w:val="3C0D6901"/>
    <w:rsid w:val="3C3D6D89"/>
    <w:rsid w:val="3C750948"/>
    <w:rsid w:val="3C7626F9"/>
    <w:rsid w:val="3CA56B3A"/>
    <w:rsid w:val="3CF63839"/>
    <w:rsid w:val="3D4129FD"/>
    <w:rsid w:val="3D485717"/>
    <w:rsid w:val="3DD35929"/>
    <w:rsid w:val="3DE844EE"/>
    <w:rsid w:val="3E09134A"/>
    <w:rsid w:val="3E1B3803"/>
    <w:rsid w:val="3E300685"/>
    <w:rsid w:val="3E742C68"/>
    <w:rsid w:val="3E8D5AD7"/>
    <w:rsid w:val="3E9A1FA2"/>
    <w:rsid w:val="3EC55271"/>
    <w:rsid w:val="3F1C4E43"/>
    <w:rsid w:val="3F835B09"/>
    <w:rsid w:val="3FA83641"/>
    <w:rsid w:val="3FCA4B09"/>
    <w:rsid w:val="3FE0432D"/>
    <w:rsid w:val="40512845"/>
    <w:rsid w:val="40624EF6"/>
    <w:rsid w:val="408300A1"/>
    <w:rsid w:val="40844CB8"/>
    <w:rsid w:val="408B0022"/>
    <w:rsid w:val="40A67324"/>
    <w:rsid w:val="40CD778A"/>
    <w:rsid w:val="41315365"/>
    <w:rsid w:val="4142745A"/>
    <w:rsid w:val="41A90E7A"/>
    <w:rsid w:val="41D430A6"/>
    <w:rsid w:val="41F27355"/>
    <w:rsid w:val="42091919"/>
    <w:rsid w:val="421D2E5F"/>
    <w:rsid w:val="423E406D"/>
    <w:rsid w:val="424B0183"/>
    <w:rsid w:val="426E79CE"/>
    <w:rsid w:val="42801A62"/>
    <w:rsid w:val="42937435"/>
    <w:rsid w:val="42BD0DA1"/>
    <w:rsid w:val="42CC1372"/>
    <w:rsid w:val="42EB1424"/>
    <w:rsid w:val="42FC76D0"/>
    <w:rsid w:val="431F1980"/>
    <w:rsid w:val="43574906"/>
    <w:rsid w:val="43DE7FEB"/>
    <w:rsid w:val="43DF3464"/>
    <w:rsid w:val="44071E88"/>
    <w:rsid w:val="441D49D5"/>
    <w:rsid w:val="4436276D"/>
    <w:rsid w:val="443F42BE"/>
    <w:rsid w:val="44564BBE"/>
    <w:rsid w:val="445A0DDF"/>
    <w:rsid w:val="44735770"/>
    <w:rsid w:val="4478377C"/>
    <w:rsid w:val="4487121B"/>
    <w:rsid w:val="44B26298"/>
    <w:rsid w:val="44B71B00"/>
    <w:rsid w:val="4508410A"/>
    <w:rsid w:val="451F5F9E"/>
    <w:rsid w:val="45206EA7"/>
    <w:rsid w:val="452D1DC2"/>
    <w:rsid w:val="455F7AA2"/>
    <w:rsid w:val="45943BEF"/>
    <w:rsid w:val="45A02594"/>
    <w:rsid w:val="45CC68CD"/>
    <w:rsid w:val="46670824"/>
    <w:rsid w:val="466A4DD4"/>
    <w:rsid w:val="466E6076"/>
    <w:rsid w:val="46AE7CC0"/>
    <w:rsid w:val="46E57333"/>
    <w:rsid w:val="46E7569C"/>
    <w:rsid w:val="47022DDB"/>
    <w:rsid w:val="470D6517"/>
    <w:rsid w:val="47365A2B"/>
    <w:rsid w:val="47490A0A"/>
    <w:rsid w:val="47AA1C22"/>
    <w:rsid w:val="47BB1907"/>
    <w:rsid w:val="47D85797"/>
    <w:rsid w:val="47E10C42"/>
    <w:rsid w:val="485B4F92"/>
    <w:rsid w:val="48877A3B"/>
    <w:rsid w:val="48A71E8C"/>
    <w:rsid w:val="48B5518F"/>
    <w:rsid w:val="493279A7"/>
    <w:rsid w:val="49396F88"/>
    <w:rsid w:val="496B1CD2"/>
    <w:rsid w:val="497E0E3E"/>
    <w:rsid w:val="49900B72"/>
    <w:rsid w:val="49AF0FF8"/>
    <w:rsid w:val="49BA174B"/>
    <w:rsid w:val="49F770EA"/>
    <w:rsid w:val="4A00681E"/>
    <w:rsid w:val="4A201EF6"/>
    <w:rsid w:val="4A3D4856"/>
    <w:rsid w:val="4A4A2ACF"/>
    <w:rsid w:val="4A653DAC"/>
    <w:rsid w:val="4A6F2535"/>
    <w:rsid w:val="4A843199"/>
    <w:rsid w:val="4AC24D5B"/>
    <w:rsid w:val="4AC92197"/>
    <w:rsid w:val="4AD056CA"/>
    <w:rsid w:val="4AE65A17"/>
    <w:rsid w:val="4B2B6DA4"/>
    <w:rsid w:val="4B4E65EF"/>
    <w:rsid w:val="4B5736F5"/>
    <w:rsid w:val="4B80232E"/>
    <w:rsid w:val="4B8E2E8F"/>
    <w:rsid w:val="4BC863A1"/>
    <w:rsid w:val="4BD44D46"/>
    <w:rsid w:val="4BF632BD"/>
    <w:rsid w:val="4C577725"/>
    <w:rsid w:val="4C5B46C9"/>
    <w:rsid w:val="4C704EB3"/>
    <w:rsid w:val="4C87000A"/>
    <w:rsid w:val="4C9761A5"/>
    <w:rsid w:val="4D1473C4"/>
    <w:rsid w:val="4D5123C6"/>
    <w:rsid w:val="4D7A3108"/>
    <w:rsid w:val="4D7F3DC5"/>
    <w:rsid w:val="4DAD7844"/>
    <w:rsid w:val="4DBD55EE"/>
    <w:rsid w:val="4E017689"/>
    <w:rsid w:val="4E0B4C3D"/>
    <w:rsid w:val="4E3866BD"/>
    <w:rsid w:val="4E41068C"/>
    <w:rsid w:val="4E630603"/>
    <w:rsid w:val="4E6A7BE3"/>
    <w:rsid w:val="4E6B73C0"/>
    <w:rsid w:val="4E7C4642"/>
    <w:rsid w:val="4E83089E"/>
    <w:rsid w:val="4E8D0982"/>
    <w:rsid w:val="4EA03605"/>
    <w:rsid w:val="4EC2129C"/>
    <w:rsid w:val="4EEF1E97"/>
    <w:rsid w:val="4F1456D4"/>
    <w:rsid w:val="4F2558B8"/>
    <w:rsid w:val="4F42646A"/>
    <w:rsid w:val="4F5C39D0"/>
    <w:rsid w:val="4F6E3703"/>
    <w:rsid w:val="4F9C2C98"/>
    <w:rsid w:val="4FAB04B3"/>
    <w:rsid w:val="504D7CCF"/>
    <w:rsid w:val="505C17AE"/>
    <w:rsid w:val="50A13664"/>
    <w:rsid w:val="50D41659"/>
    <w:rsid w:val="50DE6667"/>
    <w:rsid w:val="510734C7"/>
    <w:rsid w:val="510B4D15"/>
    <w:rsid w:val="510C3832"/>
    <w:rsid w:val="512C54A0"/>
    <w:rsid w:val="51304D8E"/>
    <w:rsid w:val="51327F72"/>
    <w:rsid w:val="515120D3"/>
    <w:rsid w:val="51F90505"/>
    <w:rsid w:val="5201260D"/>
    <w:rsid w:val="521354A9"/>
    <w:rsid w:val="52497B10"/>
    <w:rsid w:val="52541547"/>
    <w:rsid w:val="5256320A"/>
    <w:rsid w:val="527A416D"/>
    <w:rsid w:val="52952D55"/>
    <w:rsid w:val="5311478A"/>
    <w:rsid w:val="53180D94"/>
    <w:rsid w:val="53413128"/>
    <w:rsid w:val="535B7AFB"/>
    <w:rsid w:val="536A624A"/>
    <w:rsid w:val="537E739A"/>
    <w:rsid w:val="53A67021"/>
    <w:rsid w:val="53B813F1"/>
    <w:rsid w:val="5402441A"/>
    <w:rsid w:val="54204FCC"/>
    <w:rsid w:val="544669FD"/>
    <w:rsid w:val="54556791"/>
    <w:rsid w:val="54AC2221"/>
    <w:rsid w:val="54B80829"/>
    <w:rsid w:val="5503669C"/>
    <w:rsid w:val="55482300"/>
    <w:rsid w:val="55831E66"/>
    <w:rsid w:val="558914FB"/>
    <w:rsid w:val="558A46C7"/>
    <w:rsid w:val="55A25EB5"/>
    <w:rsid w:val="55AE6607"/>
    <w:rsid w:val="55C04471"/>
    <w:rsid w:val="55F67FAE"/>
    <w:rsid w:val="55F85AD5"/>
    <w:rsid w:val="55FD30EB"/>
    <w:rsid w:val="562802C0"/>
    <w:rsid w:val="565F3DA6"/>
    <w:rsid w:val="56723AD9"/>
    <w:rsid w:val="570A7A61"/>
    <w:rsid w:val="576D42A0"/>
    <w:rsid w:val="57AF24E5"/>
    <w:rsid w:val="57BF34B4"/>
    <w:rsid w:val="57C2283E"/>
    <w:rsid w:val="57C93BCD"/>
    <w:rsid w:val="57CC7219"/>
    <w:rsid w:val="57F624E8"/>
    <w:rsid w:val="583F79EB"/>
    <w:rsid w:val="584C2108"/>
    <w:rsid w:val="586E207E"/>
    <w:rsid w:val="58BA52C3"/>
    <w:rsid w:val="58BF0B2C"/>
    <w:rsid w:val="58E3481A"/>
    <w:rsid w:val="58E43968"/>
    <w:rsid w:val="59292442"/>
    <w:rsid w:val="59586FA6"/>
    <w:rsid w:val="599C20C8"/>
    <w:rsid w:val="59B85CA7"/>
    <w:rsid w:val="59D86349"/>
    <w:rsid w:val="5A396CCA"/>
    <w:rsid w:val="5A504131"/>
    <w:rsid w:val="5AB126F6"/>
    <w:rsid w:val="5AD308BE"/>
    <w:rsid w:val="5AD563E4"/>
    <w:rsid w:val="5AE3132A"/>
    <w:rsid w:val="5B0B3EE2"/>
    <w:rsid w:val="5B140141"/>
    <w:rsid w:val="5B33135D"/>
    <w:rsid w:val="5B484E08"/>
    <w:rsid w:val="5B545319"/>
    <w:rsid w:val="5B5534F8"/>
    <w:rsid w:val="5B7F45A2"/>
    <w:rsid w:val="5B89601B"/>
    <w:rsid w:val="5BFB1E7B"/>
    <w:rsid w:val="5C1E3DBB"/>
    <w:rsid w:val="5C225659"/>
    <w:rsid w:val="5C3655A9"/>
    <w:rsid w:val="5C5B1929"/>
    <w:rsid w:val="5C89392A"/>
    <w:rsid w:val="5C9D0460"/>
    <w:rsid w:val="5CAE15E3"/>
    <w:rsid w:val="5CFC40FC"/>
    <w:rsid w:val="5D1D664B"/>
    <w:rsid w:val="5D4930BA"/>
    <w:rsid w:val="5D9E6676"/>
    <w:rsid w:val="5DB70023"/>
    <w:rsid w:val="5DEA03F9"/>
    <w:rsid w:val="5DF11787"/>
    <w:rsid w:val="5E062633"/>
    <w:rsid w:val="5E0D1DA6"/>
    <w:rsid w:val="5E3939FC"/>
    <w:rsid w:val="5E3B6EA6"/>
    <w:rsid w:val="5E7F4FE5"/>
    <w:rsid w:val="5E8507A0"/>
    <w:rsid w:val="5E966CFA"/>
    <w:rsid w:val="5E9A19B1"/>
    <w:rsid w:val="5EB822A5"/>
    <w:rsid w:val="5F166FCB"/>
    <w:rsid w:val="5F261904"/>
    <w:rsid w:val="5F314D65"/>
    <w:rsid w:val="5F4955F3"/>
    <w:rsid w:val="5F5C771B"/>
    <w:rsid w:val="5F6B5569"/>
    <w:rsid w:val="5F9069E1"/>
    <w:rsid w:val="5FD749AD"/>
    <w:rsid w:val="60192588"/>
    <w:rsid w:val="60AE6930"/>
    <w:rsid w:val="60AF087D"/>
    <w:rsid w:val="60EC6D09"/>
    <w:rsid w:val="60F5158E"/>
    <w:rsid w:val="610572F8"/>
    <w:rsid w:val="61140CF7"/>
    <w:rsid w:val="61314591"/>
    <w:rsid w:val="61614E7D"/>
    <w:rsid w:val="616859D9"/>
    <w:rsid w:val="617C1E5D"/>
    <w:rsid w:val="61AE5BE1"/>
    <w:rsid w:val="61D41755"/>
    <w:rsid w:val="61DA0F57"/>
    <w:rsid w:val="61EB1DFE"/>
    <w:rsid w:val="62022090"/>
    <w:rsid w:val="6227291A"/>
    <w:rsid w:val="622B7232"/>
    <w:rsid w:val="6258479B"/>
    <w:rsid w:val="628539FF"/>
    <w:rsid w:val="62A0377C"/>
    <w:rsid w:val="62A84159"/>
    <w:rsid w:val="62BF7FD7"/>
    <w:rsid w:val="6304447E"/>
    <w:rsid w:val="636D5D54"/>
    <w:rsid w:val="6379740E"/>
    <w:rsid w:val="638E7A78"/>
    <w:rsid w:val="6392134D"/>
    <w:rsid w:val="63A70B3A"/>
    <w:rsid w:val="63D916BB"/>
    <w:rsid w:val="640315F7"/>
    <w:rsid w:val="640F0BB9"/>
    <w:rsid w:val="64406FC4"/>
    <w:rsid w:val="644F7208"/>
    <w:rsid w:val="645A6080"/>
    <w:rsid w:val="64A62BA0"/>
    <w:rsid w:val="64C71494"/>
    <w:rsid w:val="64ED07CF"/>
    <w:rsid w:val="64F732C9"/>
    <w:rsid w:val="650B7121"/>
    <w:rsid w:val="650C6EA7"/>
    <w:rsid w:val="652561BA"/>
    <w:rsid w:val="652B2F20"/>
    <w:rsid w:val="653D719B"/>
    <w:rsid w:val="654E74BF"/>
    <w:rsid w:val="65575578"/>
    <w:rsid w:val="65930D0A"/>
    <w:rsid w:val="659935AB"/>
    <w:rsid w:val="65C71020"/>
    <w:rsid w:val="66065FEC"/>
    <w:rsid w:val="66263F98"/>
    <w:rsid w:val="666A0329"/>
    <w:rsid w:val="668533B4"/>
    <w:rsid w:val="66A6332B"/>
    <w:rsid w:val="673C7CA9"/>
    <w:rsid w:val="67746F85"/>
    <w:rsid w:val="677D5CC2"/>
    <w:rsid w:val="678216A2"/>
    <w:rsid w:val="67A755AC"/>
    <w:rsid w:val="67C65A33"/>
    <w:rsid w:val="67FA56DC"/>
    <w:rsid w:val="67FF2CF3"/>
    <w:rsid w:val="680509C6"/>
    <w:rsid w:val="682B1D3A"/>
    <w:rsid w:val="683D7C3C"/>
    <w:rsid w:val="68892749"/>
    <w:rsid w:val="68C06926"/>
    <w:rsid w:val="68D45F1C"/>
    <w:rsid w:val="68E343C2"/>
    <w:rsid w:val="68EF2D67"/>
    <w:rsid w:val="68FE2FAA"/>
    <w:rsid w:val="691D5D30"/>
    <w:rsid w:val="69927DBA"/>
    <w:rsid w:val="69C67F6C"/>
    <w:rsid w:val="69F90346"/>
    <w:rsid w:val="6A0B3BD1"/>
    <w:rsid w:val="6A2D7FEB"/>
    <w:rsid w:val="6A4C7601"/>
    <w:rsid w:val="6A4E3ABD"/>
    <w:rsid w:val="6A597651"/>
    <w:rsid w:val="6AAB7162"/>
    <w:rsid w:val="6AC00E5F"/>
    <w:rsid w:val="6AD40467"/>
    <w:rsid w:val="6AF117EA"/>
    <w:rsid w:val="6AFB2A63"/>
    <w:rsid w:val="6B0C6D6C"/>
    <w:rsid w:val="6B166CD1"/>
    <w:rsid w:val="6B2807B2"/>
    <w:rsid w:val="6B2F7D93"/>
    <w:rsid w:val="6B461154"/>
    <w:rsid w:val="6B4820C3"/>
    <w:rsid w:val="6B502B2C"/>
    <w:rsid w:val="6B7B2FD8"/>
    <w:rsid w:val="6B9B2D32"/>
    <w:rsid w:val="6BEC7A32"/>
    <w:rsid w:val="6BF15048"/>
    <w:rsid w:val="6C103720"/>
    <w:rsid w:val="6C167472"/>
    <w:rsid w:val="6C671918"/>
    <w:rsid w:val="6C951A26"/>
    <w:rsid w:val="6C9B019C"/>
    <w:rsid w:val="6CC62031"/>
    <w:rsid w:val="6CCE03DB"/>
    <w:rsid w:val="6CE10C19"/>
    <w:rsid w:val="6CF73A7A"/>
    <w:rsid w:val="6D301BA0"/>
    <w:rsid w:val="6D4318D3"/>
    <w:rsid w:val="6D4C4E41"/>
    <w:rsid w:val="6D700850"/>
    <w:rsid w:val="6D714693"/>
    <w:rsid w:val="6D793990"/>
    <w:rsid w:val="6D7970A3"/>
    <w:rsid w:val="6DFD7CD4"/>
    <w:rsid w:val="6E100EAB"/>
    <w:rsid w:val="6E186B57"/>
    <w:rsid w:val="6E28380F"/>
    <w:rsid w:val="6E301E58"/>
    <w:rsid w:val="6E3336F6"/>
    <w:rsid w:val="6E344E0D"/>
    <w:rsid w:val="6E3556C0"/>
    <w:rsid w:val="6E3D4D64"/>
    <w:rsid w:val="6E4724EE"/>
    <w:rsid w:val="6F082DD5"/>
    <w:rsid w:val="6F3015CD"/>
    <w:rsid w:val="6F583990"/>
    <w:rsid w:val="6F651FD5"/>
    <w:rsid w:val="6F6D3884"/>
    <w:rsid w:val="6FB37ACE"/>
    <w:rsid w:val="6FBF4D77"/>
    <w:rsid w:val="6FD1766A"/>
    <w:rsid w:val="70111A55"/>
    <w:rsid w:val="702B0EE2"/>
    <w:rsid w:val="70335B54"/>
    <w:rsid w:val="703F6315"/>
    <w:rsid w:val="707D0515"/>
    <w:rsid w:val="70BC5C25"/>
    <w:rsid w:val="70D05B50"/>
    <w:rsid w:val="70F9549B"/>
    <w:rsid w:val="712541F9"/>
    <w:rsid w:val="713C4FB8"/>
    <w:rsid w:val="71807A85"/>
    <w:rsid w:val="7189187F"/>
    <w:rsid w:val="71F31C95"/>
    <w:rsid w:val="72022FC4"/>
    <w:rsid w:val="727E6F0A"/>
    <w:rsid w:val="72AA3461"/>
    <w:rsid w:val="72AE3C93"/>
    <w:rsid w:val="72AE5A41"/>
    <w:rsid w:val="72B76C1B"/>
    <w:rsid w:val="72BB1F0C"/>
    <w:rsid w:val="72ED3C7A"/>
    <w:rsid w:val="7318110C"/>
    <w:rsid w:val="7339101D"/>
    <w:rsid w:val="73734A9A"/>
    <w:rsid w:val="738C725E"/>
    <w:rsid w:val="73CE533F"/>
    <w:rsid w:val="73F751C6"/>
    <w:rsid w:val="73F90F3E"/>
    <w:rsid w:val="740F57DF"/>
    <w:rsid w:val="74176C97"/>
    <w:rsid w:val="74934EEE"/>
    <w:rsid w:val="74B80DF9"/>
    <w:rsid w:val="74C23A26"/>
    <w:rsid w:val="74DD0860"/>
    <w:rsid w:val="74E9710B"/>
    <w:rsid w:val="750951B1"/>
    <w:rsid w:val="75412B9C"/>
    <w:rsid w:val="75496D58"/>
    <w:rsid w:val="75846F2D"/>
    <w:rsid w:val="75AE2512"/>
    <w:rsid w:val="75B96BD7"/>
    <w:rsid w:val="75DF6C0B"/>
    <w:rsid w:val="762229CE"/>
    <w:rsid w:val="762A7AD4"/>
    <w:rsid w:val="76403556"/>
    <w:rsid w:val="76766876"/>
    <w:rsid w:val="773724A9"/>
    <w:rsid w:val="77501938"/>
    <w:rsid w:val="775D3592"/>
    <w:rsid w:val="778C525A"/>
    <w:rsid w:val="77C11D73"/>
    <w:rsid w:val="77D53A70"/>
    <w:rsid w:val="77E837A3"/>
    <w:rsid w:val="77FA7033"/>
    <w:rsid w:val="78527D56"/>
    <w:rsid w:val="787139D3"/>
    <w:rsid w:val="789456D9"/>
    <w:rsid w:val="789C2C49"/>
    <w:rsid w:val="78A21BA4"/>
    <w:rsid w:val="78A22EEC"/>
    <w:rsid w:val="78BD2AE3"/>
    <w:rsid w:val="78C7785D"/>
    <w:rsid w:val="78CC09CF"/>
    <w:rsid w:val="78D947B0"/>
    <w:rsid w:val="79102FB2"/>
    <w:rsid w:val="79170BDA"/>
    <w:rsid w:val="794762A8"/>
    <w:rsid w:val="79484C24"/>
    <w:rsid w:val="79522E9F"/>
    <w:rsid w:val="795B7947"/>
    <w:rsid w:val="79674B9C"/>
    <w:rsid w:val="79785BA8"/>
    <w:rsid w:val="799F6E46"/>
    <w:rsid w:val="7A08012D"/>
    <w:rsid w:val="7A456C8B"/>
    <w:rsid w:val="7A543372"/>
    <w:rsid w:val="7A5B4A6C"/>
    <w:rsid w:val="7A603AC5"/>
    <w:rsid w:val="7A6D4434"/>
    <w:rsid w:val="7A95549D"/>
    <w:rsid w:val="7AB20098"/>
    <w:rsid w:val="7AED2E7F"/>
    <w:rsid w:val="7B166879"/>
    <w:rsid w:val="7B2F5245"/>
    <w:rsid w:val="7B332F87"/>
    <w:rsid w:val="7B3F7B7E"/>
    <w:rsid w:val="7B4056A4"/>
    <w:rsid w:val="7B494559"/>
    <w:rsid w:val="7B531F30"/>
    <w:rsid w:val="7B7610C6"/>
    <w:rsid w:val="7B77137B"/>
    <w:rsid w:val="7B900CE5"/>
    <w:rsid w:val="7BA223F9"/>
    <w:rsid w:val="7BC57E1C"/>
    <w:rsid w:val="7C232FFC"/>
    <w:rsid w:val="7C280612"/>
    <w:rsid w:val="7C2A25DC"/>
    <w:rsid w:val="7C4D62CB"/>
    <w:rsid w:val="7C6158E3"/>
    <w:rsid w:val="7C7970C0"/>
    <w:rsid w:val="7C9D743B"/>
    <w:rsid w:val="7CB00608"/>
    <w:rsid w:val="7CDD764F"/>
    <w:rsid w:val="7CF52BF2"/>
    <w:rsid w:val="7D1868D9"/>
    <w:rsid w:val="7D2F3C22"/>
    <w:rsid w:val="7D363E80"/>
    <w:rsid w:val="7D3D633F"/>
    <w:rsid w:val="7D9105A2"/>
    <w:rsid w:val="7D9615AC"/>
    <w:rsid w:val="7D961A6D"/>
    <w:rsid w:val="7DB87774"/>
    <w:rsid w:val="7DCA74A7"/>
    <w:rsid w:val="7DE20C95"/>
    <w:rsid w:val="7DEB5D9B"/>
    <w:rsid w:val="7DFF1847"/>
    <w:rsid w:val="7E132BFC"/>
    <w:rsid w:val="7EC108AA"/>
    <w:rsid w:val="7ED26AAB"/>
    <w:rsid w:val="7F673200"/>
    <w:rsid w:val="7F6779F6"/>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autoRedefine/>
    <w:qFormat/>
    <w:uiPriority w:val="0"/>
    <w:pPr>
      <w:spacing w:line="600" w:lineRule="exact"/>
      <w:ind w:firstLine="630"/>
    </w:pPr>
    <w:rPr>
      <w:rFonts w:eastAsia="仿宋_GB2312"/>
      <w:sz w:val="32"/>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6">
    <w:name w:val="index 5"/>
    <w:basedOn w:val="1"/>
    <w:next w:val="1"/>
    <w:autoRedefine/>
    <w:qFormat/>
    <w:uiPriority w:val="0"/>
    <w:pPr>
      <w:ind w:left="1680"/>
    </w:p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customStyle="1" w:styleId="11">
    <w:name w:val="正文首行缩进 21"/>
    <w:basedOn w:val="12"/>
    <w:qFormat/>
    <w:uiPriority w:val="0"/>
    <w:pPr>
      <w:ind w:firstLine="420" w:firstLineChars="200"/>
    </w:pPr>
  </w:style>
  <w:style w:type="paragraph" w:customStyle="1" w:styleId="12">
    <w:name w:val="正文文本缩进1"/>
    <w:basedOn w:val="1"/>
    <w:autoRedefine/>
    <w:qFormat/>
    <w:uiPriority w:val="0"/>
    <w:pPr>
      <w:ind w:left="420" w:leftChars="200"/>
    </w:pPr>
    <w:rPr>
      <w:rFonts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雨点儿~</cp:lastModifiedBy>
  <cp:lastPrinted>2022-01-07T00:44:00Z</cp:lastPrinted>
  <dcterms:modified xsi:type="dcterms:W3CDTF">2024-04-16T01:57:54Z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67CABB7E923B414BB6D17372E44789C5</vt:lpwstr>
  </property>
</Properties>
</file>